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44CD" w14:textId="77777777" w:rsidR="006C713C" w:rsidRPr="006C713C" w:rsidRDefault="006C713C" w:rsidP="006C713C">
      <w:pPr>
        <w:jc w:val="right"/>
        <w:rPr>
          <w:rFonts w:ascii="PermianSlabSerifTypeface" w:hAnsi="PermianSlabSerifTypeface"/>
          <w:b/>
          <w:bCs/>
          <w:sz w:val="22"/>
          <w:szCs w:val="22"/>
        </w:rPr>
      </w:pPr>
      <w:bookmarkStart w:id="0" w:name="_GoBack"/>
      <w:bookmarkEnd w:id="0"/>
      <w:r w:rsidRPr="006C713C">
        <w:rPr>
          <w:rFonts w:ascii="PermianSlabSerifTypeface" w:hAnsi="PermianSlabSerifTypeface"/>
          <w:b/>
          <w:bCs/>
          <w:sz w:val="22"/>
          <w:szCs w:val="22"/>
        </w:rPr>
        <w:t>proiect</w:t>
      </w:r>
      <w:r w:rsidR="00FB159A" w:rsidRPr="006C713C">
        <w:rPr>
          <w:rFonts w:ascii="PermianSlabSerifTypeface" w:hAnsi="PermianSlabSerifTypeface"/>
          <w:b/>
          <w:bCs/>
          <w:sz w:val="22"/>
          <w:szCs w:val="22"/>
        </w:rPr>
        <w:t xml:space="preserve"> </w:t>
      </w:r>
    </w:p>
    <w:p w14:paraId="555E365A" w14:textId="77777777" w:rsidR="006C713C" w:rsidRPr="006C713C" w:rsidRDefault="006C713C" w:rsidP="00805F2C">
      <w:pPr>
        <w:jc w:val="center"/>
        <w:rPr>
          <w:rFonts w:ascii="PermianSlabSerifTypeface" w:hAnsi="PermianSlabSerifTypeface"/>
          <w:b/>
          <w:bCs/>
          <w:sz w:val="22"/>
          <w:szCs w:val="22"/>
        </w:rPr>
      </w:pPr>
    </w:p>
    <w:p w14:paraId="1A57F849" w14:textId="77777777" w:rsidR="00A31A28" w:rsidRPr="006C713C" w:rsidRDefault="00A31A28" w:rsidP="00805F2C">
      <w:pPr>
        <w:jc w:val="center"/>
        <w:rPr>
          <w:rFonts w:ascii="PermianSlabSerifTypeface" w:hAnsi="PermianSlabSerifTypeface"/>
          <w:b/>
          <w:bCs/>
          <w:sz w:val="22"/>
          <w:szCs w:val="22"/>
        </w:rPr>
      </w:pPr>
      <w:r w:rsidRPr="006C713C">
        <w:rPr>
          <w:rFonts w:ascii="PermianSlabSerifTypeface" w:hAnsi="PermianSlabSerifTypeface"/>
          <w:b/>
          <w:bCs/>
          <w:sz w:val="22"/>
          <w:szCs w:val="22"/>
        </w:rPr>
        <w:t>BANCA NAŢIONALĂ A MOLDOVEI</w:t>
      </w:r>
    </w:p>
    <w:p w14:paraId="3BDCB6FA" w14:textId="77777777" w:rsidR="006C713C" w:rsidRPr="006C713C" w:rsidRDefault="006C713C" w:rsidP="00805F2C">
      <w:pPr>
        <w:jc w:val="center"/>
        <w:rPr>
          <w:rFonts w:ascii="PermianSlabSerifTypeface" w:hAnsi="PermianSlabSerifTypeface"/>
          <w:b/>
          <w:bCs/>
          <w:sz w:val="22"/>
          <w:szCs w:val="22"/>
        </w:rPr>
      </w:pPr>
    </w:p>
    <w:p w14:paraId="1D645FFA" w14:textId="69D312BF" w:rsidR="006C713C" w:rsidRPr="006C713C" w:rsidRDefault="006C713C" w:rsidP="00805F2C">
      <w:pPr>
        <w:jc w:val="center"/>
        <w:rPr>
          <w:rFonts w:ascii="PermianSlabSerifTypeface" w:hAnsi="PermianSlabSerifTypeface"/>
          <w:b/>
          <w:bCs/>
          <w:sz w:val="22"/>
          <w:szCs w:val="22"/>
        </w:rPr>
      </w:pPr>
      <w:r w:rsidRPr="006C713C">
        <w:rPr>
          <w:rFonts w:ascii="PermianSlabSerifTypeface" w:hAnsi="PermianSlabSerifTypeface"/>
          <w:b/>
          <w:bCs/>
          <w:sz w:val="22"/>
          <w:szCs w:val="22"/>
        </w:rPr>
        <w:t>COMI</w:t>
      </w:r>
      <w:r w:rsidR="00003426">
        <w:rPr>
          <w:rFonts w:ascii="PermianSlabSerifTypeface" w:hAnsi="PermianSlabSerifTypeface"/>
          <w:b/>
          <w:bCs/>
          <w:sz w:val="22"/>
          <w:szCs w:val="22"/>
        </w:rPr>
        <w:t>T</w:t>
      </w:r>
      <w:r w:rsidRPr="006C713C">
        <w:rPr>
          <w:rFonts w:ascii="PermianSlabSerifTypeface" w:hAnsi="PermianSlabSerifTypeface"/>
          <w:b/>
          <w:bCs/>
          <w:sz w:val="22"/>
          <w:szCs w:val="22"/>
        </w:rPr>
        <w:t>ETUL EXECUTIV</w:t>
      </w:r>
    </w:p>
    <w:p w14:paraId="2EC2B46A" w14:textId="77777777" w:rsidR="00A31A28" w:rsidRPr="006C713C" w:rsidRDefault="00A31A28" w:rsidP="00805F2C">
      <w:pPr>
        <w:jc w:val="both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> </w:t>
      </w:r>
    </w:p>
    <w:p w14:paraId="7E9021FE" w14:textId="77777777" w:rsidR="000614EB" w:rsidRPr="006C713C" w:rsidRDefault="000614EB" w:rsidP="00805F2C">
      <w:pPr>
        <w:shd w:val="clear" w:color="auto" w:fill="FFFFFF"/>
        <w:jc w:val="center"/>
        <w:outlineLvl w:val="3"/>
        <w:rPr>
          <w:rFonts w:ascii="PermianSlabSerifTypeface" w:hAnsi="PermianSlabSerifTypeface"/>
          <w:color w:val="000000" w:themeColor="text1"/>
          <w:sz w:val="22"/>
          <w:szCs w:val="22"/>
          <w:lang w:eastAsia="ro-RO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>HOTĂRÂRE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RO"/>
        </w:rPr>
        <w:t> Nr. ___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RO"/>
        </w:rPr>
        <w:br/>
        <w:t>din _________2023</w:t>
      </w:r>
    </w:p>
    <w:p w14:paraId="7A750528" w14:textId="77777777" w:rsidR="00A161F6" w:rsidRPr="006C713C" w:rsidRDefault="00A161F6" w:rsidP="00805F2C">
      <w:pPr>
        <w:shd w:val="clear" w:color="auto" w:fill="FFFFFF"/>
        <w:jc w:val="center"/>
        <w:outlineLvl w:val="3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>pentru</w:t>
      </w:r>
      <w:r w:rsidR="000614EB"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 xml:space="preserve"> aprobarea Regulamentului</w:t>
      </w:r>
      <w:r w:rsidR="000614EB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RO"/>
        </w:rPr>
        <w:br/>
      </w:r>
      <w:r w:rsidR="002E2FB7"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 xml:space="preserve">privind externalizarea </w:t>
      </w:r>
      <w:r w:rsidR="004153ED"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>funcțiilor și activităților</w:t>
      </w: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 xml:space="preserve"> </w:t>
      </w:r>
    </w:p>
    <w:p w14:paraId="7653C158" w14:textId="77777777" w:rsidR="0051127B" w:rsidRPr="006C713C" w:rsidRDefault="00A161F6" w:rsidP="00805F2C">
      <w:pPr>
        <w:shd w:val="clear" w:color="auto" w:fill="FFFFFF"/>
        <w:jc w:val="center"/>
        <w:outlineLvl w:val="3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>legate de activitatea de asigurare sau de reasigurare</w:t>
      </w:r>
      <w:r w:rsidR="002E2FB7"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 xml:space="preserve"> </w:t>
      </w:r>
    </w:p>
    <w:p w14:paraId="062D49E1" w14:textId="77777777" w:rsidR="000614EB" w:rsidRPr="006C713C" w:rsidRDefault="002E2FB7" w:rsidP="00805F2C">
      <w:pPr>
        <w:shd w:val="clear" w:color="auto" w:fill="FFFFFF"/>
        <w:jc w:val="center"/>
        <w:outlineLvl w:val="3"/>
        <w:rPr>
          <w:rFonts w:ascii="PermianSlabSerifTypeface" w:hAnsi="PermianSlabSerifTypeface"/>
          <w:color w:val="000000" w:themeColor="text1"/>
          <w:sz w:val="22"/>
          <w:szCs w:val="22"/>
          <w:lang w:eastAsia="ro-RO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 xml:space="preserve">de </w:t>
      </w:r>
      <w:r w:rsidR="0051127B"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 xml:space="preserve">către societățile de </w:t>
      </w: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RO"/>
        </w:rPr>
        <w:t>asigurare sau de reasigurare</w:t>
      </w:r>
    </w:p>
    <w:p w14:paraId="40DCAE48" w14:textId="77777777" w:rsidR="00C66E26" w:rsidRPr="006C713C" w:rsidRDefault="00C66E26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6D16DCEA" w14:textId="77777777" w:rsidR="000614EB" w:rsidRPr="006C713C" w:rsidRDefault="000614EB" w:rsidP="00476D73">
      <w:pPr>
        <w:ind w:firstLine="720"/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În temeiul</w:t>
      </w:r>
      <w:r w:rsidR="006024FE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 xml:space="preserve"> </w:t>
      </w:r>
      <w:r w:rsidR="00861E65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art</w:t>
      </w:r>
      <w:r w:rsidR="000458A4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 xml:space="preserve">icolului </w:t>
      </w:r>
      <w:r w:rsidR="00AF616A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43</w:t>
      </w:r>
      <w:r w:rsidR="00B9442A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 xml:space="preserve"> alin.(3)</w:t>
      </w:r>
      <w:r w:rsidR="00C66E26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 xml:space="preserve"> </w:t>
      </w:r>
      <w:r w:rsidR="00C66E26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 w:eastAsia="ro-RO"/>
        </w:rPr>
        <w:t>și</w:t>
      </w:r>
      <w:r w:rsidR="008C674E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 xml:space="preserve"> </w:t>
      </w:r>
      <w:r w:rsidR="00AF616A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art</w:t>
      </w:r>
      <w:r w:rsidR="00597DCC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icolului</w:t>
      </w:r>
      <w:r w:rsidR="00AF616A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 xml:space="preserve"> 115 alin. (8)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din Legea nr.92/2022 privind activitatea de asigurare sau de reasigurare (Monitorul Oficial al Republicii Moldova, 2022, nr.129-133, art.229),</w:t>
      </w:r>
      <w:r w:rsidR="00A31A28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 w:eastAsia="ro-RO"/>
        </w:rPr>
        <w:t xml:space="preserve"> cu modificările ulterioare,</w:t>
      </w:r>
      <w:r w:rsidR="00A31A28" w:rsidRPr="006C713C">
        <w:rPr>
          <w:rFonts w:ascii="PermianSlabSerifTypeface" w:hAnsi="PermianSlabSerifTypeface"/>
          <w:sz w:val="22"/>
          <w:szCs w:val="22"/>
        </w:rPr>
        <w:t xml:space="preserve"> </w:t>
      </w:r>
      <w:r w:rsidR="00E30F37" w:rsidRPr="006C713C">
        <w:rPr>
          <w:rFonts w:ascii="PermianSlabSerifTypeface" w:hAnsi="PermianSlabSerifTypeface"/>
          <w:sz w:val="22"/>
          <w:szCs w:val="22"/>
        </w:rPr>
        <w:t>Comitetul executiv al Băncii Naționale a Moldovei</w:t>
      </w:r>
    </w:p>
    <w:p w14:paraId="2125F844" w14:textId="77777777" w:rsidR="000614EB" w:rsidRPr="006C713C" w:rsidRDefault="000614EB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48B21AE6" w14:textId="77777777" w:rsidR="00186F13" w:rsidRPr="006C713C" w:rsidRDefault="00186F13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73BECD5B" w14:textId="77777777" w:rsidR="000614EB" w:rsidRPr="006C713C" w:rsidRDefault="000614EB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shd w:val="clear" w:color="auto" w:fill="FFFFFF"/>
          <w:lang w:eastAsia="ro-RO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shd w:val="clear" w:color="auto" w:fill="FFFFFF"/>
          <w:lang w:eastAsia="ro-RO"/>
        </w:rPr>
        <w:t>HOTĂRĂŞTE:</w:t>
      </w:r>
    </w:p>
    <w:p w14:paraId="79D91A29" w14:textId="77777777" w:rsidR="000614EB" w:rsidRPr="006C713C" w:rsidRDefault="000614EB" w:rsidP="00805F2C">
      <w:pPr>
        <w:jc w:val="center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18CD8BB6" w14:textId="77777777" w:rsidR="00186F13" w:rsidRPr="006C713C" w:rsidRDefault="00186F13" w:rsidP="00805F2C">
      <w:pPr>
        <w:jc w:val="center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20757F7D" w14:textId="77777777" w:rsidR="000614EB" w:rsidRPr="006C713C" w:rsidRDefault="000614EB" w:rsidP="009C2D54">
      <w:pPr>
        <w:pStyle w:val="ListParagraph"/>
        <w:numPr>
          <w:ilvl w:val="0"/>
          <w:numId w:val="60"/>
        </w:numPr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>Se aprobă Regulament</w:t>
      </w:r>
      <w:r w:rsidR="0011397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>ul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 privind </w:t>
      </w:r>
      <w:r w:rsidR="00AF616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externalizarea funcțiilor </w:t>
      </w:r>
      <w:r w:rsidR="004153E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>și activităților</w:t>
      </w:r>
      <w:r w:rsidR="0003333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 </w:t>
      </w:r>
      <w:r w:rsidR="00A161F6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legate de activitatea de asigurare sau de reasigurare </w:t>
      </w:r>
      <w:r w:rsidR="0051127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de către societățile </w:t>
      </w:r>
      <w:r w:rsidR="00AF616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>de asigurare sau de reasigurare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 (se anexează).</w:t>
      </w:r>
    </w:p>
    <w:p w14:paraId="56A8A4FE" w14:textId="77777777" w:rsidR="000614EB" w:rsidRPr="006C713C" w:rsidRDefault="000614EB" w:rsidP="009C2D54">
      <w:pPr>
        <w:pStyle w:val="ListParagraph"/>
        <w:numPr>
          <w:ilvl w:val="0"/>
          <w:numId w:val="60"/>
        </w:numPr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Prezenta </w:t>
      </w:r>
      <w:r w:rsidR="006136BB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>h</w:t>
      </w:r>
      <w:r w:rsidR="006136B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otărâre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intră în vigoare </w:t>
      </w:r>
      <w:r w:rsidR="008015B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la expirarea termenului de </w:t>
      </w:r>
      <w:r w:rsidR="00B259D3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3 </w:t>
      </w:r>
      <w:r w:rsidR="008015B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 xml:space="preserve">luni de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  <w:lang w:eastAsia="ro-RO"/>
        </w:rPr>
        <w:t>la data publicării în Monitorul Oficial al Republicii Moldova.</w:t>
      </w:r>
    </w:p>
    <w:p w14:paraId="1ECE8229" w14:textId="77777777" w:rsidR="000614EB" w:rsidRPr="006C713C" w:rsidRDefault="000614EB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2"/>
        <w:gridCol w:w="1461"/>
      </w:tblGrid>
      <w:tr w:rsidR="00103121" w:rsidRPr="006C713C" w14:paraId="4FB288B1" w14:textId="77777777" w:rsidTr="00522F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3642938" w14:textId="77777777" w:rsidR="00DF3339" w:rsidRPr="006C713C" w:rsidRDefault="00DF3339" w:rsidP="00805F2C">
            <w:pPr>
              <w:rPr>
                <w:rFonts w:ascii="PermianSlabSerifTypeface" w:hAnsi="PermianSlabSerifTypeface"/>
                <w:b/>
                <w:bCs/>
                <w:sz w:val="22"/>
                <w:szCs w:val="22"/>
              </w:rPr>
            </w:pPr>
          </w:p>
          <w:p w14:paraId="648E50BD" w14:textId="77777777" w:rsidR="00DF3339" w:rsidRPr="006C713C" w:rsidRDefault="00DF3339" w:rsidP="00805F2C">
            <w:pPr>
              <w:rPr>
                <w:rFonts w:ascii="PermianSlabSerifTypeface" w:hAnsi="PermianSlabSerifTypeface"/>
                <w:b/>
                <w:bCs/>
                <w:sz w:val="22"/>
                <w:szCs w:val="22"/>
              </w:rPr>
            </w:pPr>
          </w:p>
          <w:p w14:paraId="42BC4531" w14:textId="77777777" w:rsidR="00103121" w:rsidRPr="006C713C" w:rsidRDefault="00103121" w:rsidP="00805F2C">
            <w:pPr>
              <w:rPr>
                <w:rFonts w:ascii="PermianSlabSerifTypeface" w:hAnsi="PermianSlabSerifTypeface"/>
                <w:b/>
                <w:bCs/>
                <w:sz w:val="22"/>
                <w:szCs w:val="22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73D2B" w14:textId="77777777" w:rsidR="00103121" w:rsidRPr="006C713C" w:rsidRDefault="00103121" w:rsidP="00805F2C">
            <w:pPr>
              <w:rPr>
                <w:rFonts w:ascii="PermianSlabSerifTypeface" w:hAnsi="PermianSlabSerifTypeface"/>
                <w:b/>
                <w:bCs/>
                <w:sz w:val="22"/>
                <w:szCs w:val="22"/>
              </w:rPr>
            </w:pPr>
          </w:p>
        </w:tc>
      </w:tr>
      <w:tr w:rsidR="00103121" w:rsidRPr="006C713C" w14:paraId="4F6448A7" w14:textId="77777777" w:rsidTr="00522F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F32C1A0" w14:textId="77777777" w:rsidR="00103121" w:rsidRPr="006C713C" w:rsidRDefault="00103121" w:rsidP="00805F2C">
            <w:pPr>
              <w:rPr>
                <w:rFonts w:ascii="PermianSlabSerifTypeface" w:hAnsi="PermianSlabSerifTypeface"/>
                <w:b/>
                <w:bCs/>
                <w:sz w:val="22"/>
                <w:szCs w:val="22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ACA01" w14:textId="77777777" w:rsidR="00103121" w:rsidRPr="006C713C" w:rsidRDefault="00744E4F" w:rsidP="00744E4F">
            <w:pPr>
              <w:rPr>
                <w:rFonts w:ascii="PermianSlabSerifTypeface" w:hAnsi="PermianSlabSerifTypeface"/>
                <w:b/>
                <w:bCs/>
                <w:sz w:val="22"/>
                <w:szCs w:val="22"/>
              </w:rPr>
            </w:pPr>
            <w:r>
              <w:rPr>
                <w:rFonts w:ascii="PermianSlabSerifTypeface" w:hAnsi="PermianSlabSerifTypeface"/>
                <w:b/>
                <w:bCs/>
                <w:sz w:val="22"/>
                <w:szCs w:val="22"/>
              </w:rPr>
              <w:t>Anca DRAGU</w:t>
            </w:r>
          </w:p>
        </w:tc>
      </w:tr>
    </w:tbl>
    <w:p w14:paraId="554402A9" w14:textId="77777777" w:rsidR="000614EB" w:rsidRPr="006C713C" w:rsidRDefault="000614EB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2D26FEFD" w14:textId="77777777" w:rsidR="000614EB" w:rsidRPr="006C713C" w:rsidRDefault="000614EB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4C10F179" w14:textId="77777777" w:rsidR="000614EB" w:rsidRPr="006C713C" w:rsidRDefault="000614EB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410C8653" w14:textId="77777777" w:rsidR="000614EB" w:rsidRPr="006C713C" w:rsidRDefault="000614EB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0B5E4E25" w14:textId="269B7878" w:rsidR="00DF3339" w:rsidRPr="006C713C" w:rsidRDefault="00DF3339" w:rsidP="00805F2C">
      <w:pP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65A7848E" w14:textId="77777777" w:rsidR="00B21B2F" w:rsidRDefault="00B21B2F">
      <w:pP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br w:type="page"/>
      </w:r>
    </w:p>
    <w:p w14:paraId="3BE8A9D3" w14:textId="7A99498C" w:rsidR="000614EB" w:rsidRPr="006C713C" w:rsidRDefault="006136BB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lastRenderedPageBreak/>
        <w:t>Aprobat</w:t>
      </w:r>
    </w:p>
    <w:p w14:paraId="67C7C8F5" w14:textId="77777777" w:rsidR="00B4766B" w:rsidRPr="006C713C" w:rsidRDefault="006136BB" w:rsidP="00805F2C">
      <w:pPr>
        <w:jc w:val="right"/>
        <w:rPr>
          <w:rFonts w:ascii="PermianSlabSerifTypeface" w:hAnsi="PermianSlabSerifTypeface"/>
          <w:sz w:val="22"/>
          <w:szCs w:val="22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prin</w:t>
      </w:r>
      <w:r w:rsidR="000458A4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 xml:space="preserve"> </w:t>
      </w:r>
      <w:r w:rsidR="000614EB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 xml:space="preserve">Hotărârea </w:t>
      </w:r>
    </w:p>
    <w:p w14:paraId="76755FE1" w14:textId="77777777" w:rsidR="00B4766B" w:rsidRPr="006C713C" w:rsidRDefault="00B4766B" w:rsidP="00805F2C">
      <w:pPr>
        <w:jc w:val="right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>Comitetului executiv</w:t>
      </w:r>
    </w:p>
    <w:p w14:paraId="0FEC24C4" w14:textId="77777777" w:rsidR="00B4766B" w:rsidRPr="006C713C" w:rsidRDefault="00B4766B" w:rsidP="00805F2C">
      <w:pPr>
        <w:jc w:val="right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 xml:space="preserve">al Băncii </w:t>
      </w:r>
      <w:r w:rsidR="00151AF5" w:rsidRPr="006C713C">
        <w:rPr>
          <w:rFonts w:ascii="PermianSlabSerifTypeface" w:hAnsi="PermianSlabSerifTypeface"/>
          <w:sz w:val="22"/>
          <w:szCs w:val="22"/>
        </w:rPr>
        <w:t>Naționale</w:t>
      </w:r>
      <w:r w:rsidRPr="006C713C">
        <w:rPr>
          <w:rFonts w:ascii="PermianSlabSerifTypeface" w:hAnsi="PermianSlabSerifTypeface"/>
          <w:sz w:val="22"/>
          <w:szCs w:val="22"/>
        </w:rPr>
        <w:t xml:space="preserve"> a Moldovei</w:t>
      </w:r>
    </w:p>
    <w:p w14:paraId="714B2793" w14:textId="77777777" w:rsidR="000614EB" w:rsidRPr="006C713C" w:rsidRDefault="000614EB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</w:p>
    <w:p w14:paraId="6B3A3154" w14:textId="77777777" w:rsidR="000614EB" w:rsidRPr="006C713C" w:rsidRDefault="000614EB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nr.</w:t>
      </w:r>
      <w:r w:rsidR="0007502A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____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 xml:space="preserve"> din </w:t>
      </w:r>
      <w:r w:rsidR="0007502A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__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.</w:t>
      </w:r>
      <w:r w:rsidR="0007502A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__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.202</w:t>
      </w:r>
      <w:r w:rsidR="0007502A"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eastAsia="ro-RO"/>
        </w:rPr>
        <w:t>3</w:t>
      </w:r>
    </w:p>
    <w:p w14:paraId="32835854" w14:textId="77777777" w:rsidR="000614EB" w:rsidRPr="006C713C" w:rsidRDefault="000614EB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</w:rPr>
      </w:pPr>
    </w:p>
    <w:p w14:paraId="73E06F3F" w14:textId="77777777" w:rsidR="007523EC" w:rsidRPr="006C713C" w:rsidRDefault="007523EC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</w:rPr>
      </w:pPr>
    </w:p>
    <w:p w14:paraId="0418B0D6" w14:textId="77777777" w:rsidR="000D4DFF" w:rsidRPr="006C713C" w:rsidRDefault="007523EC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  <w:t xml:space="preserve">REGULAMENT </w:t>
      </w:r>
    </w:p>
    <w:p w14:paraId="4244B96A" w14:textId="77777777" w:rsidR="00A32033" w:rsidRPr="006C713C" w:rsidRDefault="00A32033" w:rsidP="00A32033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  <w:t xml:space="preserve">privind externalizarea funcțiilor și activităților </w:t>
      </w:r>
    </w:p>
    <w:p w14:paraId="6189EFC6" w14:textId="77777777" w:rsidR="00A32033" w:rsidRPr="006C713C" w:rsidRDefault="00A32033" w:rsidP="00A32033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  <w:t xml:space="preserve">legate de activitatea de asigurare sau de reasigurare </w:t>
      </w:r>
    </w:p>
    <w:p w14:paraId="03C057B9" w14:textId="77777777" w:rsidR="00A32033" w:rsidRPr="006C713C" w:rsidRDefault="00A32033" w:rsidP="00A32033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  <w:t>de către societățile de asigurare sau de reasigurare</w:t>
      </w:r>
    </w:p>
    <w:p w14:paraId="04F2110E" w14:textId="77777777" w:rsidR="00845F71" w:rsidRPr="006C713C" w:rsidRDefault="00113970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</w:rPr>
        <w:t xml:space="preserve"> </w:t>
      </w:r>
    </w:p>
    <w:p w14:paraId="5584E614" w14:textId="77777777" w:rsidR="00865B2C" w:rsidRPr="006C713C" w:rsidRDefault="00865B2C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</w:rPr>
      </w:pPr>
    </w:p>
    <w:p w14:paraId="667B7C9B" w14:textId="77777777" w:rsidR="00865B2C" w:rsidRPr="006C713C" w:rsidRDefault="00865B2C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shd w:val="clear" w:color="auto" w:fill="FFFFFF"/>
        </w:rPr>
        <w:t>Capitolul I</w:t>
      </w:r>
    </w:p>
    <w:p w14:paraId="2A68435E" w14:textId="77777777" w:rsidR="00865B2C" w:rsidRPr="006C713C" w:rsidRDefault="00865B2C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shd w:val="clear" w:color="auto" w:fill="FFFFFF"/>
        </w:rPr>
        <w:t>DISPOZIȚII GENERALE</w:t>
      </w:r>
    </w:p>
    <w:p w14:paraId="7CED26B1" w14:textId="77777777" w:rsidR="00865B2C" w:rsidRPr="006C713C" w:rsidRDefault="00865B2C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</w:rPr>
      </w:pPr>
    </w:p>
    <w:p w14:paraId="58C0CBB7" w14:textId="35D5DFA5" w:rsidR="00033335" w:rsidRPr="00ED239E" w:rsidRDefault="00865B2C" w:rsidP="00ED239E">
      <w:pPr>
        <w:pStyle w:val="ListParagraph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Regulament</w:t>
      </w:r>
      <w:r w:rsidR="0007502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ul privind </w:t>
      </w:r>
      <w:r w:rsidR="00AF616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externalizarea funcțiilor</w:t>
      </w:r>
      <w:r w:rsidR="0003333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153E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și activităților </w:t>
      </w:r>
      <w:r w:rsidR="00461680" w:rsidRPr="006C713C">
        <w:rPr>
          <w:rFonts w:ascii="PermianSlabSerifTypeface" w:hAnsi="PermianSlabSerifTypeface" w:cs="Times New Roman"/>
          <w:bCs/>
          <w:color w:val="000000" w:themeColor="text1"/>
          <w:sz w:val="22"/>
          <w:szCs w:val="22"/>
          <w:shd w:val="clear" w:color="auto" w:fill="FFFFFF"/>
        </w:rPr>
        <w:t>legate de activitatea de asigurare</w:t>
      </w:r>
      <w:r w:rsidR="00A32033" w:rsidRPr="006C713C">
        <w:rPr>
          <w:rFonts w:ascii="PermianSlabSerifTypeface" w:hAnsi="PermianSlabSerifTypeface" w:cs="Times New Roman"/>
          <w:bCs/>
          <w:color w:val="000000" w:themeColor="text1"/>
          <w:sz w:val="22"/>
          <w:szCs w:val="22"/>
          <w:shd w:val="clear" w:color="auto" w:fill="FFFFFF"/>
        </w:rPr>
        <w:t xml:space="preserve"> sau de reasigurare</w:t>
      </w:r>
      <w:r w:rsidR="00461680" w:rsidRPr="006C713C">
        <w:rPr>
          <w:rFonts w:ascii="PermianSlabSerifTypeface" w:hAnsi="PermianSlabSerifTypeface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51127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de către societățile </w:t>
      </w:r>
      <w:r w:rsidR="004153E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de asigurare</w:t>
      </w:r>
      <w:r w:rsidR="00AF616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C295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sau de reasigurare </w:t>
      </w:r>
      <w:r w:rsidR="0007502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(</w:t>
      </w:r>
      <w:r w:rsidR="00AF616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î</w:t>
      </w:r>
      <w:r w:rsidR="0007502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n continuare – </w:t>
      </w:r>
      <w:r w:rsidR="00B97392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r</w:t>
      </w:r>
      <w:r w:rsidR="0007502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egulament)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C0FC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stabilește cadrul normativ aferent externalizării </w:t>
      </w:r>
      <w:r w:rsidR="000C0FC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funcțiilor </w:t>
      </w:r>
      <w:r w:rsidR="000C0FC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și</w:t>
      </w:r>
      <w:r w:rsidR="000C0FC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activităților legate de activitatea de asigurare sau de reasigurare</w:t>
      </w:r>
      <w:r w:rsidR="000C0FC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(funcții și activități - în continuare)</w:t>
      </w:r>
      <w:r w:rsidR="000C0FC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C0FC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care</w:t>
      </w:r>
      <w:r w:rsidR="00BF49B2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F49B2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include cerințe minime privind evaluarea furnizorului de către societate</w:t>
      </w:r>
      <w:r w:rsidR="000C0FC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 de asigurare sau de reasigurare (societate – în continuare)</w:t>
      </w:r>
      <w:r w:rsidR="00BF49B2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cerințe minime față de contractul de externalizare, particularitățile externalizării funcțiilor și activităților, modul de administrare a riscurilor asociate externalizării, aprobarea prealabilă și raportarea externalizării.</w:t>
      </w:r>
    </w:p>
    <w:p w14:paraId="77541F04" w14:textId="77777777" w:rsidR="00F33422" w:rsidRPr="006C713C" w:rsidRDefault="00F33422" w:rsidP="00587F0F">
      <w:pPr>
        <w:pStyle w:val="ListParagraph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Noțiunile, termenii și expresiile utilizate în prezentul </w:t>
      </w:r>
      <w:r w:rsidR="00B97392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egulament au semnificația prevăzută în Legea nr.92/2022 privind activitatea de asigurare sau de reasigurare</w:t>
      </w:r>
      <w:r w:rsidR="00585B1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C0FC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(Legea nr. 92/2022) </w:t>
      </w:r>
      <w:r w:rsidR="00585B1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și </w:t>
      </w:r>
      <w:r w:rsidR="00B97392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în </w:t>
      </w:r>
      <w:r w:rsidR="00585B1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actel</w:t>
      </w:r>
      <w:r w:rsidR="00B97392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e</w:t>
      </w:r>
      <w:r w:rsidR="00585B1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normative emise în aplicarea acesteia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.</w:t>
      </w:r>
    </w:p>
    <w:p w14:paraId="614024D4" w14:textId="79289FCD" w:rsidR="006E0F55" w:rsidRPr="006C713C" w:rsidRDefault="00B654A7" w:rsidP="00587F0F">
      <w:pPr>
        <w:pStyle w:val="ListParagraph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P</w:t>
      </w:r>
      <w:r w:rsidR="0060457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revederile </w:t>
      </w:r>
      <w:r w:rsidR="00B97392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r</w:t>
      </w:r>
      <w:r w:rsidR="0060457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egulamentului aferente societății se aplică, în mod corespunzător, sucursalelor </w:t>
      </w:r>
      <w:r w:rsidR="000C0FC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societ</w:t>
      </w:r>
      <w:r w:rsidR="000C0FC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ății</w:t>
      </w:r>
      <w:r w:rsidR="000C0FC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0457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din stat </w:t>
      </w:r>
      <w:r w:rsidR="002801F8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terț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, dacă anumite dispoziții ale prezentului </w:t>
      </w:r>
      <w:r w:rsidR="00B97392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egulament nu prevăd altfel</w:t>
      </w:r>
      <w:r w:rsidR="0060457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.</w:t>
      </w:r>
    </w:p>
    <w:p w14:paraId="74D1BBB1" w14:textId="77777777" w:rsidR="00905DA1" w:rsidRPr="006C713C" w:rsidRDefault="00EC45BF" w:rsidP="00587F0F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Societ</w:t>
      </w:r>
      <w:r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atea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are</w:t>
      </w:r>
      <w:r w:rsidR="00905DA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responsabilitatea primară de a evalua adecvarea furnizorului </w:t>
      </w:r>
      <w:r w:rsidR="00F232F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de servicii </w:t>
      </w:r>
      <w:r w:rsidR="00F249B3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(în continuare – furnizor) </w:t>
      </w:r>
      <w:r w:rsidR="00905DA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la cerințele prevăzute de prezentul </w:t>
      </w:r>
      <w:r w:rsidR="006E594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r</w:t>
      </w:r>
      <w:r w:rsidR="00905DA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egulament.</w:t>
      </w:r>
    </w:p>
    <w:p w14:paraId="2D1A7DF9" w14:textId="77777777" w:rsidR="00146044" w:rsidRPr="006C713C" w:rsidRDefault="00EC45BF" w:rsidP="00587F0F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Societ</w:t>
      </w:r>
      <w:r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atea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A04B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po</w:t>
      </w:r>
      <w:r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a</w:t>
      </w:r>
      <w:r w:rsidR="00DA04B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t</w:t>
      </w:r>
      <w:r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e</w:t>
      </w:r>
      <w:r w:rsidR="00DA04B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4604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decide asupra </w:t>
      </w:r>
      <w:r w:rsidR="00DA04B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externaliz</w:t>
      </w:r>
      <w:r w:rsidR="0014604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ării</w:t>
      </w:r>
      <w:r w:rsidR="00DA04B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atribuțiil</w:t>
      </w:r>
      <w:r w:rsidR="0014604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or</w:t>
      </w:r>
      <w:r w:rsidR="00DA04B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aferente funcțiilor</w:t>
      </w:r>
      <w:r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F2A31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și</w:t>
      </w:r>
      <w:r w:rsidR="00DA04B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4604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asupra externalizării integrale sau parțiale a unor activități</w:t>
      </w:r>
      <w:r w:rsidR="00DA04B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.</w:t>
      </w:r>
    </w:p>
    <w:p w14:paraId="6C5F78EB" w14:textId="699B300F" w:rsidR="00905DA1" w:rsidRPr="006C713C" w:rsidRDefault="00905DA1" w:rsidP="00587F0F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Nu se consideră externalizare achiziționarea de către </w:t>
      </w:r>
      <w:r w:rsidR="00315AF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societ</w:t>
      </w:r>
      <w:r w:rsidR="00315AF5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ate</w:t>
      </w:r>
      <w:r w:rsidR="00315AF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 următoarelor bunuri sau servicii</w:t>
      </w:r>
      <w:r w:rsidR="00054A76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care nu sunt legate de activitatea de asigura</w:t>
      </w:r>
      <w:r w:rsidR="008409FB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re, fără a se limita la acestea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:</w:t>
      </w:r>
    </w:p>
    <w:p w14:paraId="25AEC9CE" w14:textId="77777777" w:rsidR="0003219B" w:rsidRPr="006C713C" w:rsidRDefault="0003219B" w:rsidP="00587F0F">
      <w:pPr>
        <w:pStyle w:val="ListParagraph"/>
        <w:numPr>
          <w:ilvl w:val="0"/>
          <w:numId w:val="48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</w:t>
      </w:r>
      <w:r w:rsidR="00905DA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ctivitățile care pot fi desfășurate, conform prevederilor expres</w:t>
      </w:r>
      <w:r w:rsidR="00533E01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</w:t>
      </w:r>
      <w:r w:rsidR="00905DA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</w:t>
      </w:r>
      <w:r w:rsidR="00533E01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</w:t>
      </w:r>
      <w:r w:rsidR="00905DA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legislație, doar de către un furnizor de servicii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inclusiv auditul </w:t>
      </w:r>
      <w:r w:rsidR="009B047F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situațiilor financiare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3D80B62F" w14:textId="77777777" w:rsidR="0003219B" w:rsidRPr="006C713C" w:rsidRDefault="0003219B" w:rsidP="00587F0F">
      <w:pPr>
        <w:pStyle w:val="ListParagraph"/>
        <w:numPr>
          <w:ilvl w:val="0"/>
          <w:numId w:val="48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serviciile de informare despre piață, inclusiv</w:t>
      </w:r>
      <w:r w:rsidR="00533E01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furnizare de date de către agențiile de </w:t>
      </w:r>
      <w:r w:rsidR="008E68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rating Standard &amp; Poor</w:t>
      </w:r>
      <w:r w:rsidR="008E68A4" w:rsidRPr="006C713C">
        <w:rPr>
          <w:rFonts w:ascii="Courier New" w:hAnsi="Courier New" w:cs="Courier New"/>
          <w:color w:val="000000" w:themeColor="text1"/>
          <w:sz w:val="22"/>
          <w:szCs w:val="22"/>
          <w:lang w:eastAsia="ro-MD"/>
        </w:rPr>
        <w:t>′</w:t>
      </w:r>
      <w:r w:rsidR="008E68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s, Fitch-IBCA, AM BEST sau Moody</w:t>
      </w:r>
      <w:r w:rsidR="008E68A4" w:rsidRPr="006C713C">
        <w:rPr>
          <w:rFonts w:ascii="Courier New" w:hAnsi="Courier New" w:cs="Courier New"/>
          <w:color w:val="000000" w:themeColor="text1"/>
          <w:sz w:val="22"/>
          <w:szCs w:val="22"/>
          <w:lang w:eastAsia="ro-MD"/>
        </w:rPr>
        <w:t>′</w:t>
      </w:r>
      <w:r w:rsidR="008E68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0DD9F475" w14:textId="77777777" w:rsidR="0003219B" w:rsidRPr="006C713C" w:rsidRDefault="0003219B" w:rsidP="00587F0F">
      <w:pPr>
        <w:pStyle w:val="ListParagraph"/>
        <w:numPr>
          <w:ilvl w:val="0"/>
          <w:numId w:val="48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achizițiile de bunuri și servicii care nu se desfășoară de către </w:t>
      </w:r>
      <w:r w:rsidR="00A036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societ</w:t>
      </w:r>
      <w:r w:rsidR="00A036AF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ate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inclusiv serviciile juridice de </w:t>
      </w:r>
      <w:r w:rsidR="00AB336E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consultanță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și / sau </w:t>
      </w:r>
      <w:r w:rsidR="005B21E7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reprezentare în fața instanțelor de judecată și a </w:t>
      </w:r>
      <w:r w:rsidR="00023426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autorităților publice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serviciile de curățenie, de grădinărit și de întreținere a sediilor </w:t>
      </w:r>
      <w:r w:rsidR="005B4F2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societăț</w:t>
      </w:r>
      <w:r w:rsidR="005B4F21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ii</w:t>
      </w:r>
      <w:r w:rsidR="00D4690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serviciile medicale, serviciile de întreținere a parcului de mașini de serviciu, serviciile de catering, serviciile de distribuție automată a produselor, serviciile administrative, serviciile de călătorie, serviciile de registratură, recepție corespondență, secretariat și ale operatorilor de centrale telefonice, achizițiile de bunuri necesare desfășurării activităților sau de utilități</w:t>
      </w:r>
      <w:r w:rsidR="00520FF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(electricitate, gaz, apă, linie telefonică etc.)</w:t>
      </w:r>
      <w:r w:rsidR="004614B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.</w:t>
      </w:r>
    </w:p>
    <w:p w14:paraId="7D83D5A3" w14:textId="77777777" w:rsidR="00216ADE" w:rsidRPr="006C713C" w:rsidRDefault="00315AF5" w:rsidP="00852BD5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lastRenderedPageBreak/>
        <w:t>Societ</w:t>
      </w:r>
      <w:r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atea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52BD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publică</w:t>
      </w:r>
      <w:r w:rsidR="00E53BE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pe pagina </w:t>
      </w:r>
      <w:r w:rsidR="007F7324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sa </w:t>
      </w:r>
      <w:r w:rsidR="00E2783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oficială</w:t>
      </w:r>
      <w:r w:rsidR="00852BD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>, cel puţin, informaţia cu privire la externalizarea funcțiilor și activităţilor, data externalizării, denumirea furnizorului, rolul acestuia în activităţile externalizate.</w:t>
      </w:r>
      <w:r w:rsidR="000D04DE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52BD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45A7C3B4" w14:textId="77777777" w:rsidR="0003219B" w:rsidRPr="006C713C" w:rsidRDefault="00852BD5" w:rsidP="00216ADE">
      <w:pPr>
        <w:tabs>
          <w:tab w:val="left" w:pos="426"/>
        </w:tabs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</w:rPr>
        <w:br/>
      </w:r>
    </w:p>
    <w:p w14:paraId="500BA309" w14:textId="77777777" w:rsidR="0001706E" w:rsidRPr="006C713C" w:rsidRDefault="00E55401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shd w:val="clear" w:color="auto" w:fill="FFFFFF"/>
        </w:rPr>
        <w:t xml:space="preserve">Capitolul </w:t>
      </w:r>
      <w:r w:rsidR="0001706E"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shd w:val="clear" w:color="auto" w:fill="FFFFFF"/>
        </w:rPr>
        <w:t>II</w:t>
      </w:r>
    </w:p>
    <w:p w14:paraId="697A7785" w14:textId="77777777" w:rsidR="004614B1" w:rsidRPr="006C713C" w:rsidRDefault="004614B1" w:rsidP="00805F2C">
      <w:pPr>
        <w:pStyle w:val="ListParagraph"/>
        <w:ind w:left="0"/>
        <w:jc w:val="center"/>
        <w:rPr>
          <w:rFonts w:ascii="PermianSlabSerifTypeface" w:hAnsi="PermianSlabSerifTypeface" w:cs="Times New Roman"/>
          <w:b/>
          <w:bCs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EVALUAREA FURNIZORULUI ȘI </w:t>
      </w:r>
    </w:p>
    <w:p w14:paraId="1A480EB2" w14:textId="77777777" w:rsidR="00995847" w:rsidRPr="006C713C" w:rsidRDefault="004614B1" w:rsidP="00805F2C">
      <w:pPr>
        <w:pStyle w:val="ListParagraph"/>
        <w:ind w:left="0"/>
        <w:jc w:val="center"/>
        <w:rPr>
          <w:rFonts w:ascii="PermianSlabSerifTypeface" w:hAnsi="PermianSlabSerifTypeface" w:cs="Times New Roman"/>
          <w:b/>
          <w:bCs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 w:cs="Times New Roman"/>
          <w:b/>
          <w:bCs/>
          <w:color w:val="000000" w:themeColor="text1"/>
          <w:sz w:val="22"/>
          <w:szCs w:val="22"/>
          <w:shd w:val="clear" w:color="auto" w:fill="FFFFFF"/>
        </w:rPr>
        <w:t>CONTRACTUL DE EXTERNALIZARE</w:t>
      </w:r>
    </w:p>
    <w:p w14:paraId="59689349" w14:textId="77777777" w:rsidR="00995847" w:rsidRPr="006C713C" w:rsidRDefault="00995847" w:rsidP="00805F2C">
      <w:pPr>
        <w:pStyle w:val="ListParagraph"/>
        <w:ind w:left="0"/>
        <w:jc w:val="center"/>
        <w:rPr>
          <w:rFonts w:ascii="PermianSlabSerifTypeface" w:hAnsi="PermianSlabSerifTypeface" w:cs="Times New Roman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1BE74272" w14:textId="640E8C5A" w:rsidR="00FF6C4F" w:rsidRPr="006C713C" w:rsidRDefault="00FF6C4F" w:rsidP="00612AC8">
      <w:pPr>
        <w:pStyle w:val="ListParagraph"/>
        <w:numPr>
          <w:ilvl w:val="0"/>
          <w:numId w:val="4"/>
        </w:numPr>
        <w:tabs>
          <w:tab w:val="left" w:pos="851"/>
        </w:tabs>
        <w:ind w:left="0" w:firstLine="284"/>
        <w:jc w:val="both"/>
        <w:rPr>
          <w:rFonts w:ascii="PermianSlabSerifTypeface" w:hAnsi="PermianSlabSerifTypeface" w:cs="Times New Roman"/>
          <w:sz w:val="22"/>
          <w:szCs w:val="22"/>
        </w:rPr>
      </w:pPr>
      <w:r w:rsidRPr="006C713C">
        <w:rPr>
          <w:rFonts w:ascii="PermianSlabSerifTypeface" w:hAnsi="PermianSlabSerifTypeface" w:cs="Times New Roman"/>
          <w:sz w:val="22"/>
          <w:szCs w:val="22"/>
        </w:rPr>
        <w:t xml:space="preserve">Societatea, înainte de a încheia contractul de externalizare, </w:t>
      </w:r>
      <w:r w:rsidRPr="008743F4">
        <w:rPr>
          <w:rFonts w:ascii="PermianSlabSerifTypeface" w:hAnsi="PermianSlabSerifTypeface" w:cs="Times New Roman"/>
          <w:sz w:val="22"/>
          <w:szCs w:val="22"/>
        </w:rPr>
        <w:t xml:space="preserve">evaluează furnizorul, </w:t>
      </w:r>
      <w:r w:rsidR="00803FC3" w:rsidRPr="008743F4">
        <w:rPr>
          <w:rFonts w:ascii="PermianSlabSerifTypeface" w:hAnsi="PermianSlabSerifTypeface" w:cs="Times New Roman"/>
          <w:sz w:val="22"/>
          <w:szCs w:val="22"/>
        </w:rPr>
        <w:t>cu excepția unei societăți</w:t>
      </w:r>
      <w:r w:rsidR="00AD2244">
        <w:rPr>
          <w:rFonts w:ascii="PermianSlabSerifTypeface" w:hAnsi="PermianSlabSerifTypeface" w:cs="Times New Roman"/>
          <w:sz w:val="22"/>
          <w:szCs w:val="22"/>
        </w:rPr>
        <w:t xml:space="preserve"> </w:t>
      </w:r>
      <w:r w:rsidR="00803FC3" w:rsidRPr="008743F4">
        <w:rPr>
          <w:rFonts w:ascii="PermianSlabSerifTypeface" w:hAnsi="PermianSlabSerifTypeface" w:cs="Times New Roman"/>
          <w:sz w:val="22"/>
          <w:szCs w:val="22"/>
        </w:rPr>
        <w:t>de asigurare</w:t>
      </w:r>
      <w:r w:rsidR="005A57E4" w:rsidRPr="008743F4">
        <w:rPr>
          <w:rFonts w:ascii="PermianSlabSerifTypeface" w:hAnsi="PermianSlabSerifTypeface" w:cs="Times New Roman"/>
          <w:sz w:val="22"/>
          <w:szCs w:val="22"/>
        </w:rPr>
        <w:t xml:space="preserve"> sau de reasigurare</w:t>
      </w:r>
      <w:r w:rsidR="00803FC3" w:rsidRPr="00CB3705">
        <w:rPr>
          <w:rFonts w:ascii="PermianSlabSerifTypeface" w:hAnsi="PermianSlabSerifTypeface" w:cs="Times New Roman"/>
          <w:sz w:val="22"/>
          <w:szCs w:val="22"/>
        </w:rPr>
        <w:t xml:space="preserve">, </w:t>
      </w:r>
      <w:r w:rsidR="00486F27" w:rsidRPr="00CB3705">
        <w:rPr>
          <w:rFonts w:ascii="PermianSlabSerifTypeface" w:hAnsi="PermianSlabSerifTypeface" w:cs="Times New Roman"/>
          <w:sz w:val="22"/>
          <w:szCs w:val="22"/>
        </w:rPr>
        <w:t>persoană juridică</w:t>
      </w:r>
      <w:r w:rsidR="00A37880" w:rsidRPr="00CB3705">
        <w:rPr>
          <w:rFonts w:ascii="PermianSlabSerifTypeface" w:hAnsi="PermianSlabSerifTypeface" w:cs="Times New Roman"/>
          <w:sz w:val="22"/>
          <w:szCs w:val="22"/>
        </w:rPr>
        <w:t xml:space="preserve"> din Republica Moldova</w:t>
      </w:r>
      <w:r w:rsidR="00803FC3" w:rsidRPr="006C713C">
        <w:rPr>
          <w:rFonts w:ascii="PermianSlabSerifTypeface" w:hAnsi="PermianSlabSerifTypeface" w:cs="Times New Roman"/>
          <w:sz w:val="22"/>
          <w:szCs w:val="22"/>
        </w:rPr>
        <w:t>,</w:t>
      </w:r>
      <w:r w:rsidR="00F856FB">
        <w:rPr>
          <w:rFonts w:ascii="PermianSlabSerifTypeface" w:hAnsi="PermianSlabSerifTypeface" w:cs="Times New Roman"/>
          <w:sz w:val="22"/>
          <w:szCs w:val="22"/>
        </w:rPr>
        <w:t xml:space="preserve"> a unei sucursale unei societăți din stat terț, </w:t>
      </w:r>
      <w:r w:rsidRPr="006C713C">
        <w:rPr>
          <w:rFonts w:ascii="PermianSlabSerifTypeface" w:hAnsi="PermianSlabSerifTypeface" w:cs="Times New Roman"/>
          <w:sz w:val="22"/>
          <w:szCs w:val="22"/>
        </w:rPr>
        <w:t xml:space="preserve">în contextul reputaţiei în afaceri. </w:t>
      </w:r>
    </w:p>
    <w:p w14:paraId="11ECCA9C" w14:textId="77777777" w:rsidR="00D424F4" w:rsidRPr="006C713C" w:rsidRDefault="00FF6C4F" w:rsidP="00224894">
      <w:pPr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 xml:space="preserve">Se consideră că furnizorul are o reputaţie bună </w:t>
      </w:r>
      <w:r w:rsidR="00C663D3">
        <w:rPr>
          <w:rFonts w:ascii="PermianSlabSerifTypeface" w:hAnsi="PermianSlabSerifTypeface"/>
          <w:sz w:val="22"/>
          <w:szCs w:val="22"/>
        </w:rPr>
        <w:t>în</w:t>
      </w:r>
      <w:r w:rsidRPr="006C713C">
        <w:rPr>
          <w:rFonts w:ascii="PermianSlabSerifTypeface" w:hAnsi="PermianSlabSerifTypeface"/>
          <w:sz w:val="22"/>
          <w:szCs w:val="22"/>
        </w:rPr>
        <w:t xml:space="preserve"> afaceri, dacă nu există informaţii negative în ceea ce priveşte competenţa profesională în desfăşurarea activităţii externalizate şi integritatea acestuia.</w:t>
      </w:r>
    </w:p>
    <w:p w14:paraId="4425892E" w14:textId="7ADA0E28" w:rsidR="00044C53" w:rsidRPr="006C713C" w:rsidRDefault="00044C53" w:rsidP="00587F0F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La evaluarea furnizorului</w:t>
      </w:r>
      <w:r w:rsidR="00E005CB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,</w:t>
      </w:r>
      <w:r w:rsidR="00781A0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 potrivit pct.</w:t>
      </w:r>
      <w:r w:rsidR="00CF5B78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8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, </w:t>
      </w:r>
      <w:r w:rsidR="00E005CB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conform </w:t>
      </w:r>
      <w:r w:rsidR="008B01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funcți</w:t>
      </w:r>
      <w:r w:rsidR="00E005CB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ei</w:t>
      </w:r>
      <w:r w:rsidR="008B01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 sau activit</w:t>
      </w:r>
      <w:r w:rsidR="00E005CB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ății</w:t>
      </w:r>
      <w:r w:rsidR="008B01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 externalizat</w:t>
      </w:r>
      <w:r w:rsidR="00E005CB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e</w:t>
      </w:r>
      <w:r w:rsidR="008B01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,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societatea </w:t>
      </w:r>
      <w:r w:rsidR="00F249B3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ia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în considerare cel puțin următoarele:</w:t>
      </w:r>
    </w:p>
    <w:p w14:paraId="6F0C80A0" w14:textId="77777777" w:rsidR="00E761F7" w:rsidRPr="006C713C" w:rsidRDefault="00E761F7" w:rsidP="00E761F7">
      <w:pPr>
        <w:pStyle w:val="ListParagraph"/>
        <w:numPr>
          <w:ilvl w:val="0"/>
          <w:numId w:val="49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modelul de </w:t>
      </w:r>
      <w:r w:rsidR="00875B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afacer</w:t>
      </w:r>
      <w:r w:rsidR="00875B84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</w:t>
      </w:r>
      <w:r w:rsidR="00875B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</w:t>
      </w:r>
      <w:r w:rsidR="00017E9A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l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furnizorului și poziționarea acestuia pe piață (natura, amploarea, complexitatea afacerii acestuia, situația sa financiară, inclusiv principalii indicatori de performanță, structura organizatorică și structura de proprietate a furnizorului, </w:t>
      </w:r>
      <w:r w:rsidR="003A19A6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inclusiv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structura grupului, dacă există);</w:t>
      </w:r>
    </w:p>
    <w:p w14:paraId="4DAF6EF0" w14:textId="77777777" w:rsidR="009A5CA4" w:rsidRPr="006C713C" w:rsidRDefault="009A5CA4" w:rsidP="00587F0F">
      <w:pPr>
        <w:pStyle w:val="ListParagraph"/>
        <w:numPr>
          <w:ilvl w:val="0"/>
          <w:numId w:val="49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rezultatele evaluărilor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revizuirilor reflectate în ultimul raport de evaluare, în cazul în care furnizorul este supravegheat de către o autoritate competentă;</w:t>
      </w:r>
    </w:p>
    <w:p w14:paraId="5E3FCDEB" w14:textId="77777777" w:rsidR="009A5CA4" w:rsidRPr="006C713C" w:rsidRDefault="009A5CA4" w:rsidP="00587F0F">
      <w:pPr>
        <w:pStyle w:val="ListParagraph"/>
        <w:numPr>
          <w:ilvl w:val="0"/>
          <w:numId w:val="49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rapoartele auditului intern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/sau auditului </w:t>
      </w:r>
      <w:r w:rsidR="00472C3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situațiilor financiare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pentru ultimul an al furnizorului înainte de a externaliza</w:t>
      </w:r>
      <w:r w:rsidR="009A5C4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funcția sau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activitatea, dacă există;</w:t>
      </w:r>
    </w:p>
    <w:p w14:paraId="50CB9D51" w14:textId="77777777" w:rsidR="009A5CA4" w:rsidRPr="006C713C" w:rsidRDefault="00EA6859" w:rsidP="00587F0F">
      <w:pPr>
        <w:pStyle w:val="ListParagraph"/>
        <w:numPr>
          <w:ilvl w:val="0"/>
          <w:numId w:val="49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informația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cu privire la antecedentele penale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aflarea sub urmărire penală,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sancțiunile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aplicate furnizorului potrivit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legislației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fiscale, vamale, precum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cu privire la măsurile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sancțiunile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aplicate de orice autoritate de supraveghere sau organism profesional în domeniul de referință în raport cu furnizorul;</w:t>
      </w:r>
    </w:p>
    <w:p w14:paraId="2E5F0A50" w14:textId="77777777" w:rsidR="00613562" w:rsidRPr="006C713C" w:rsidRDefault="00613562" w:rsidP="00587F0F">
      <w:pPr>
        <w:pStyle w:val="ListParagraph"/>
        <w:numPr>
          <w:ilvl w:val="0"/>
          <w:numId w:val="49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existenţa unui conflict de interese cu furnizorul şi modul în care acest conflict </w:t>
      </w:r>
      <w:r w:rsidR="00AC2BFB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poate fi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gestionat sau remediat, inclusiv </w:t>
      </w:r>
      <w:r w:rsidR="00AC2BFB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reieșind din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politica societății în materie de conflicte de interese;</w:t>
      </w:r>
    </w:p>
    <w:p w14:paraId="29A7025D" w14:textId="77777777" w:rsidR="009A5CA4" w:rsidRPr="006C713C" w:rsidRDefault="00EA6859" w:rsidP="00587F0F">
      <w:pPr>
        <w:pStyle w:val="ListParagraph"/>
        <w:numPr>
          <w:ilvl w:val="0"/>
          <w:numId w:val="49"/>
        </w:numPr>
        <w:tabs>
          <w:tab w:val="left" w:pos="284"/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informația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privind dispunerea de politici ce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țin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confidențialitatea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securitatea datelor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deținute</w:t>
      </w:r>
      <w:r w:rsidR="009A5CA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ca urmare a externalizării</w:t>
      </w:r>
      <w:r w:rsidR="0025371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071265E2" w14:textId="77777777" w:rsidR="00383DD6" w:rsidRPr="006C713C" w:rsidRDefault="00383DD6" w:rsidP="00AD3376">
      <w:pPr>
        <w:pStyle w:val="ListParagraph"/>
        <w:numPr>
          <w:ilvl w:val="0"/>
          <w:numId w:val="49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dacă furnizorul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deține licența / autorizația necesară și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dispune de personal calificat pentru </w:t>
      </w:r>
      <w:r w:rsidR="0025371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desfășurarea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 xml:space="preserve"> activității externalizate</w:t>
      </w:r>
      <w:r w:rsidRPr="006C713C">
        <w:rPr>
          <w:rFonts w:ascii="PermianSlabSerifTypeface" w:hAnsi="PermianSlabSerifTypeface" w:cs="Times New Roman"/>
          <w:bCs/>
          <w:sz w:val="22"/>
          <w:szCs w:val="22"/>
        </w:rPr>
        <w:t>;</w:t>
      </w:r>
    </w:p>
    <w:p w14:paraId="67DB3623" w14:textId="36757CB0" w:rsidR="009A5CA4" w:rsidRPr="006C713C" w:rsidRDefault="009A5CA4" w:rsidP="00FD286E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</w:rPr>
        <w:t>Modalitatea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de solicitare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evaluare a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informației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în baza căreia va fi efectuată evaluarea furnizorului potrivit </w:t>
      </w:r>
      <w:r w:rsidR="00F94A4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pct.</w:t>
      </w:r>
      <w:r w:rsidR="00CF5B78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8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forma în care aceasta este prezentată societății (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declarații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pe proprie răspundere, certificate sau alte acte emise de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autorități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publice sau alte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entități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) este stabilită în </w:t>
      </w:r>
      <w:r w:rsidR="00F94A4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reglementările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interne ale 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.</w:t>
      </w:r>
    </w:p>
    <w:p w14:paraId="5FB8CEE7" w14:textId="0CD3F833" w:rsidR="006622BC" w:rsidRPr="006C713C" w:rsidRDefault="00357AF0" w:rsidP="00FD286E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Societatea </w:t>
      </w:r>
      <w:r w:rsidR="009864FE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întocmește </w:t>
      </w:r>
      <w:r w:rsidR="003C4086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un </w:t>
      </w:r>
      <w:r w:rsidR="00E77718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r</w:t>
      </w:r>
      <w:r w:rsidR="009864FE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aport privind </w:t>
      </w:r>
      <w:r w:rsidR="006C24C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rezultatele evaluării menționate la pct. </w:t>
      </w:r>
      <w:r w:rsidR="00CF5B78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8</w:t>
      </w:r>
      <w:r w:rsidR="00AB387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inclusiv concluzia finală privind corespunderea furnizorului criteriilor stabilite în reglementările interne ale societății și cerințelor prezentului </w:t>
      </w:r>
      <w:r w:rsidR="005C3FD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egulament.</w:t>
      </w:r>
    </w:p>
    <w:p w14:paraId="4FE66D3A" w14:textId="77777777" w:rsidR="006622BC" w:rsidRPr="006C713C" w:rsidRDefault="00E17504" w:rsidP="00E6744E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Orice e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xternalizare</w:t>
      </w:r>
      <w:r w:rsidR="004A2BE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trebuie să fie obiectul unui contract de externalizare care se încheie în formă scrisă</w:t>
      </w:r>
      <w:r w:rsidR="006622B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și conține cel puțin 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următoarele:</w:t>
      </w:r>
    </w:p>
    <w:p w14:paraId="55F926D5" w14:textId="77777777" w:rsidR="00287DB0" w:rsidRPr="006C713C" w:rsidRDefault="00357AF0" w:rsidP="00587F0F">
      <w:pPr>
        <w:pStyle w:val="ListParagraph"/>
        <w:numPr>
          <w:ilvl w:val="0"/>
          <w:numId w:val="59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descrierea detaliată a </w:t>
      </w:r>
      <w:r w:rsidR="006622B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funcției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87DB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sau</w:t>
      </w:r>
      <w:r w:rsidR="005C3FD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</w:t>
      </w:r>
      <w:r w:rsidR="00287DB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activității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externalizate;</w:t>
      </w:r>
    </w:p>
    <w:p w14:paraId="52538E46" w14:textId="77777777" w:rsidR="00287DB0" w:rsidRPr="006C713C" w:rsidRDefault="00EA6859" w:rsidP="00587F0F">
      <w:pPr>
        <w:pStyle w:val="ListParagraph"/>
        <w:numPr>
          <w:ilvl w:val="0"/>
          <w:numId w:val="59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cerințe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cantitative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calitative specifice </w:t>
      </w:r>
      <w:r w:rsidR="006622B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funcției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87DB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activității 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externalizare, care să permită </w:t>
      </w:r>
      <w:r w:rsidR="006622B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societății 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să evalueze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să monitorizeze, pe durata contractului, dacă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desfășurarea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acesteia este corespunzătoare;</w:t>
      </w:r>
    </w:p>
    <w:p w14:paraId="6A85E58C" w14:textId="425897D9" w:rsidR="00287DB0" w:rsidRPr="006C713C" w:rsidRDefault="00357AF0" w:rsidP="00587F0F">
      <w:pPr>
        <w:pStyle w:val="ListParagraph"/>
        <w:numPr>
          <w:ilvl w:val="0"/>
          <w:numId w:val="59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lastRenderedPageBreak/>
        <w:t xml:space="preserve">specificarea locului </w:t>
      </w:r>
      <w:r w:rsidR="006622B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exercită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r</w:t>
      </w:r>
      <w:r w:rsidR="006622B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ii/desfășurării </w:t>
      </w:r>
      <w:r w:rsidR="009B4953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activității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externalizate, inclusiv obligativitatea furnizorului de a informa </w:t>
      </w:r>
      <w:r w:rsidR="006622B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societatea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în cazul schimbării </w:t>
      </w:r>
      <w:r w:rsidR="00B14A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locației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respective;</w:t>
      </w:r>
    </w:p>
    <w:p w14:paraId="2DC42F0F" w14:textId="77777777" w:rsidR="00287DB0" w:rsidRPr="006C713C" w:rsidRDefault="00357AF0" w:rsidP="00587F0F">
      <w:pPr>
        <w:pStyle w:val="ListParagraph"/>
        <w:numPr>
          <w:ilvl w:val="0"/>
          <w:numId w:val="59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definirea în mod clar a drepturilor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B14A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obligațiilor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B14A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societății</w:t>
      </w:r>
      <w:r w:rsidR="006622B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ale furnizorului, urmărindu-se buna executare a </w:t>
      </w:r>
      <w:r w:rsidR="006622B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atribuțiilor funcției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87DB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activității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externalizate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asigurarea respectării </w:t>
      </w:r>
      <w:r w:rsidR="00B14A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cerințelor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B14A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prudențiale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pe durata contractului;</w:t>
      </w:r>
    </w:p>
    <w:p w14:paraId="5A4E2E4F" w14:textId="77777777" w:rsidR="002C3191" w:rsidRPr="00AD0039" w:rsidRDefault="00357AF0" w:rsidP="00AD0039">
      <w:pPr>
        <w:pStyle w:val="ListParagraph"/>
        <w:numPr>
          <w:ilvl w:val="0"/>
          <w:numId w:val="59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clauze de </w:t>
      </w:r>
      <w:r w:rsidR="00B14A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rezoluțiune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 contractului</w:t>
      </w:r>
      <w:r w:rsidR="00AD0039">
        <w:rPr>
          <w:rFonts w:ascii="PermianSlabSerifTypeface" w:hAnsi="PermianSlabSerifTypeface" w:cs="Times New Roman"/>
          <w:color w:val="000000" w:themeColor="text1"/>
          <w:sz w:val="22"/>
          <w:szCs w:val="22"/>
          <w:lang w:val="ro-MD" w:eastAsia="ro-MD"/>
        </w:rPr>
        <w:t>;</w:t>
      </w:r>
    </w:p>
    <w:p w14:paraId="04538111" w14:textId="77777777" w:rsidR="00287DB0" w:rsidRPr="006C713C" w:rsidRDefault="00357AF0" w:rsidP="00587F0F">
      <w:pPr>
        <w:pStyle w:val="ListParagraph"/>
        <w:numPr>
          <w:ilvl w:val="0"/>
          <w:numId w:val="59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prevederi aferente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protecției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informațiilor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ce constituie secret </w:t>
      </w:r>
      <w:r w:rsidR="002C319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comercial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alte </w:t>
      </w:r>
      <w:r w:rsidR="000F031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informații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protejate de lege, inclusiv în domeniul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protecției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datelor cu caracter personal, procesarea acestor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informații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păstrarea </w:t>
      </w:r>
      <w:r w:rsidR="00AC2BFB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confidențialității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acestor</w:t>
      </w:r>
      <w:r w:rsidR="009079D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de către furnizor în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aceeași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măsură ca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C319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societatea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128B2007" w14:textId="77777777" w:rsidR="002C3191" w:rsidRPr="006C713C" w:rsidRDefault="00357AF0" w:rsidP="00587F0F">
      <w:pPr>
        <w:pStyle w:val="ListParagraph"/>
        <w:numPr>
          <w:ilvl w:val="0"/>
          <w:numId w:val="59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prevederi aferente monitorizării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evaluării permanente de către </w:t>
      </w:r>
      <w:r w:rsidR="002C319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societate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 modului de executare a contractului de către furnizor, astfel încât aceasta să poată întreprinde prompt măsurile necesare;</w:t>
      </w:r>
    </w:p>
    <w:p w14:paraId="7E585E84" w14:textId="77777777" w:rsidR="002C3191" w:rsidRPr="006C713C" w:rsidRDefault="00357AF0" w:rsidP="00587F0F">
      <w:pPr>
        <w:pStyle w:val="ListParagraph"/>
        <w:numPr>
          <w:ilvl w:val="0"/>
          <w:numId w:val="59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stabilirea în sarcina furnizorului a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obligației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:</w:t>
      </w:r>
    </w:p>
    <w:p w14:paraId="1F2EF414" w14:textId="77777777" w:rsidR="00395210" w:rsidRPr="00CF5B78" w:rsidRDefault="00395210" w:rsidP="00CF5B78">
      <w:pPr>
        <w:tabs>
          <w:tab w:val="left" w:pos="284"/>
        </w:tabs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a) să coopereze cu Banca Națională a Moldovei în cadrul exercitării atribuţiilor instituţionale;</w:t>
      </w:r>
    </w:p>
    <w:p w14:paraId="22B1EBFD" w14:textId="7DFF0871" w:rsidR="00357AF0" w:rsidRPr="00CF5B78" w:rsidRDefault="00395210" w:rsidP="00CF5B78">
      <w:pPr>
        <w:tabs>
          <w:tab w:val="left" w:pos="284"/>
        </w:tabs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b) să asigure accesul societăţii, al auditorilor acest</w:t>
      </w:r>
      <w:r w:rsidR="00A21852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eia</w:t>
      </w:r>
      <w:r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şi al Băncii Naționale a M</w:t>
      </w:r>
      <w:r w:rsidR="00407A76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o</w:t>
      </w:r>
      <w:r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ldovei la toate datele şi operaţiunile efectuate de către furnizorul de servicii de externalizare în cadrul prestării serviciilor în cauză, precum şi accesul în sediul acestuia</w:t>
      </w:r>
      <w:r w:rsidR="00A21852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, </w:t>
      </w:r>
      <w:r w:rsidR="00357AF0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stabilirea termenului contractului </w:t>
      </w:r>
      <w:r w:rsidR="00EA6859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și</w:t>
      </w:r>
      <w:r w:rsidR="00357AF0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a perioadei de </w:t>
      </w:r>
      <w:r w:rsidR="00EA6859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tranziție</w:t>
      </w:r>
      <w:r w:rsidR="00357AF0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adecvate, în cazul în care furnizorul, după </w:t>
      </w:r>
      <w:r w:rsidR="00EA6859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rezoluțiunea</w:t>
      </w:r>
      <w:r w:rsidR="00357AF0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contractului de externalizare, ar continua să furnizeze </w:t>
      </w:r>
      <w:r w:rsidR="00287DB0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funcția sau activitatea </w:t>
      </w:r>
      <w:r w:rsidR="00357AF0" w:rsidRPr="00CF5B78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externalizată;</w:t>
      </w:r>
    </w:p>
    <w:p w14:paraId="1EB70441" w14:textId="77777777" w:rsidR="002C3191" w:rsidRPr="006C713C" w:rsidRDefault="00357AF0" w:rsidP="00587F0F">
      <w:pPr>
        <w:pStyle w:val="ListParagraph"/>
        <w:numPr>
          <w:ilvl w:val="0"/>
          <w:numId w:val="59"/>
        </w:numPr>
        <w:tabs>
          <w:tab w:val="left" w:pos="284"/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descrierea detaliată a drepturilor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obligațiilor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616B7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</w:t>
      </w:r>
      <w:r w:rsidR="00616B7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val="ro-MD" w:eastAsia="ro-MD"/>
        </w:rPr>
        <w:t>ărților</w:t>
      </w:r>
      <w:r w:rsidR="00616B7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în cazul încetării contractului înainte de termen, în scopul asigurării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continuității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desfășurării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C319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activităților aferente funcției </w:t>
      </w:r>
      <w:r w:rsidR="00287DB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activității </w:t>
      </w:r>
      <w:r w:rsidR="002C319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externalizate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6E2B060E" w14:textId="77777777" w:rsidR="00323604" w:rsidRPr="006C713C" w:rsidRDefault="00357AF0" w:rsidP="00587F0F">
      <w:pPr>
        <w:pStyle w:val="ListParagraph"/>
        <w:numPr>
          <w:ilvl w:val="0"/>
          <w:numId w:val="59"/>
        </w:numPr>
        <w:tabs>
          <w:tab w:val="left" w:pos="284"/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prevederi privind asigurarea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continuității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7307E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realizării </w:t>
      </w:r>
      <w:r w:rsidR="00287DB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funcțiilor sau </w:t>
      </w:r>
      <w:r w:rsidR="007307E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desfășurării </w:t>
      </w:r>
      <w:r w:rsidR="002C319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activităților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externalizate, inclusiv ca urmare a transferului drepturilor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obligațiunilor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care </w:t>
      </w:r>
      <w:r w:rsidR="005C3FD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decurg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din contractul de externalizare, în cazul aplicării unuia sau mai multor </w:t>
      </w:r>
      <w:r w:rsidR="00395210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măsuri</w:t>
      </w:r>
      <w:r w:rsidR="003952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D9608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de supraveghere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D9608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în cazul deteriorării situației financiare </w:t>
      </w:r>
      <w:r w:rsidR="003264C9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sau instituir</w:t>
      </w:r>
      <w:r w:rsidR="005C3FD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ii re</w:t>
      </w:r>
      <w:r w:rsidR="003264C9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zoluției</w:t>
      </w:r>
      <w:r w:rsidR="00D9608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3264C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conform Legii nr.</w:t>
      </w:r>
      <w:r w:rsidR="002C319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92/2022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03943C21" w14:textId="60E35766" w:rsidR="00323604" w:rsidRPr="006C713C" w:rsidRDefault="007307EC" w:rsidP="00587F0F">
      <w:pPr>
        <w:pStyle w:val="ListParagraph"/>
        <w:numPr>
          <w:ilvl w:val="0"/>
          <w:numId w:val="59"/>
        </w:numPr>
        <w:tabs>
          <w:tab w:val="left" w:pos="284"/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descrierea 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modul</w:t>
      </w:r>
      <w:r w:rsidR="00A21852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ui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de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soluționare</w:t>
      </w:r>
      <w:r w:rsidR="00357AF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 litigiilor</w:t>
      </w:r>
      <w:r w:rsidR="00AD0039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.</w:t>
      </w:r>
    </w:p>
    <w:p w14:paraId="68D366F9" w14:textId="77777777" w:rsidR="00323604" w:rsidRPr="006C713C" w:rsidRDefault="00357AF0" w:rsidP="007307EC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La elaborarea contractului de externalizare, </w:t>
      </w:r>
      <w:r w:rsidR="0032360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societatea </w:t>
      </w:r>
      <w:r w:rsidR="00441BC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ia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în considerare nivelul de monitorizare, evaluare,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inspecție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auditare care va fi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proporțional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cu dimensiunea, profilul de risc, natura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modelul de afaceri, amploarea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complexitatea </w:t>
      </w:r>
      <w:r w:rsidR="0032360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funcției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activității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externalizate.</w:t>
      </w:r>
    </w:p>
    <w:p w14:paraId="11224603" w14:textId="77777777" w:rsidR="00C15DD8" w:rsidRPr="006C713C" w:rsidRDefault="00C15DD8" w:rsidP="007307EC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În cazul în care contractul de externalizare include mai multe tipuri de funcții sau activităţi  externalizate, societatea va expune în contract aspectele care includ toate aceste tipuri.</w:t>
      </w:r>
    </w:p>
    <w:p w14:paraId="6AE4959D" w14:textId="5BE50A1F" w:rsidR="00323604" w:rsidRPr="006C713C" w:rsidRDefault="00357AF0" w:rsidP="007307EC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În sensul prevederilor pct.</w:t>
      </w:r>
      <w:r w:rsidR="008743F4" w:rsidRPr="008743F4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1</w:t>
      </w:r>
      <w:r w:rsidR="008743F4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2</w:t>
      </w:r>
      <w:r w:rsidR="008743F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77903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subpct. (2)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la evaluarea caracterului corespunzător al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desfășurării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32360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funcției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activității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externalizate de către furnizor, </w:t>
      </w:r>
      <w:r w:rsidR="0032360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societatea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poate utiliza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informațiile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din rapoartele referitoare la </w:t>
      </w:r>
      <w:r w:rsidR="0032360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funcția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activitatea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externalizată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întocmite de auditul intern, rapoartele întocmite </w:t>
      </w:r>
      <w:r w:rsidR="00987B95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în cadrul auditului situaților financiare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al </w:t>
      </w:r>
      <w:r w:rsidR="0032360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societății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/sau de auditul intern </w:t>
      </w:r>
      <w:r w:rsidR="00EA685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/sau auditul </w:t>
      </w:r>
      <w:r w:rsidR="00987B95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situațiilor financiare</w:t>
      </w:r>
      <w:r w:rsidR="00987B9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al furnizorului.</w:t>
      </w:r>
    </w:p>
    <w:p w14:paraId="5E4C8E89" w14:textId="77777777" w:rsidR="009F1CDB" w:rsidRPr="006C713C" w:rsidRDefault="009F1CDB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</w:p>
    <w:p w14:paraId="3A050A31" w14:textId="77777777" w:rsidR="00EA6859" w:rsidRPr="006C713C" w:rsidRDefault="00EA6859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  <w:t>Capitolul III</w:t>
      </w:r>
    </w:p>
    <w:p w14:paraId="6E64CD45" w14:textId="77777777" w:rsidR="00EA6859" w:rsidRPr="006C713C" w:rsidRDefault="00EA6859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  <w:t xml:space="preserve">APROBAREA PREALABILĂ A </w:t>
      </w:r>
    </w:p>
    <w:p w14:paraId="2C23B73F" w14:textId="77777777" w:rsidR="00EA6859" w:rsidRPr="006C713C" w:rsidRDefault="00EA6859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  <w:t xml:space="preserve">EXTERNALIZĂRII </w:t>
      </w:r>
    </w:p>
    <w:p w14:paraId="7139A401" w14:textId="77777777" w:rsidR="00EA6859" w:rsidRPr="006C713C" w:rsidRDefault="00EA6859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</w:p>
    <w:p w14:paraId="4B55BC70" w14:textId="3E958B8B" w:rsidR="00EA6859" w:rsidRPr="00E56BF9" w:rsidRDefault="009E00C9" w:rsidP="007307EC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eastAsia="Times New Roman" w:hAnsi="PermianSlabSerifTypeface" w:cs="Arial"/>
          <w:sz w:val="22"/>
          <w:szCs w:val="22"/>
          <w:lang w:val="en-US"/>
        </w:rPr>
        <w:t xml:space="preserve"> </w:t>
      </w:r>
      <w:r w:rsidRPr="00E56BF9">
        <w:rPr>
          <w:rFonts w:ascii="PermianSlabSerifTypeface" w:eastAsia="Times New Roman" w:hAnsi="PermianSlabSerifTypeface" w:cs="Times New Roman"/>
          <w:sz w:val="22"/>
          <w:szCs w:val="22"/>
          <w:lang w:val="ro-MD"/>
        </w:rPr>
        <w:t xml:space="preserve">Societatea </w:t>
      </w:r>
      <w:r w:rsidRPr="00E56BF9">
        <w:rPr>
          <w:rFonts w:ascii="PermianSlabSerifTypeface" w:hAnsi="PermianSlabSerifTypeface" w:cs="Times New Roman"/>
          <w:color w:val="000000" w:themeColor="text1"/>
          <w:sz w:val="22"/>
          <w:szCs w:val="22"/>
          <w:lang w:val="ro-MD" w:eastAsia="ro-MD"/>
        </w:rPr>
        <w:t xml:space="preserve">externalizează funcții sau activităţi doar după obţinerea aprobării prealabile a Băncii Naţionale a Moldovei, conform cerinţelor stabilite în prezentul </w:t>
      </w:r>
      <w:r w:rsidR="00E25D26" w:rsidRPr="00E56BF9">
        <w:rPr>
          <w:rFonts w:ascii="PermianSlabSerifTypeface" w:hAnsi="PermianSlabSerifTypeface" w:cs="Times New Roman"/>
          <w:color w:val="000000" w:themeColor="text1"/>
          <w:sz w:val="22"/>
          <w:szCs w:val="22"/>
          <w:lang w:val="ro-MD" w:eastAsia="ro-MD"/>
        </w:rPr>
        <w:t>R</w:t>
      </w:r>
      <w:r w:rsidRPr="00E56BF9">
        <w:rPr>
          <w:rFonts w:ascii="PermianSlabSerifTypeface" w:hAnsi="PermianSlabSerifTypeface" w:cs="Times New Roman"/>
          <w:color w:val="000000" w:themeColor="text1"/>
          <w:sz w:val="22"/>
          <w:szCs w:val="22"/>
          <w:lang w:val="ro-MD" w:eastAsia="ro-MD"/>
        </w:rPr>
        <w:t>egulament</w:t>
      </w:r>
      <w:r w:rsidR="00E56BF9">
        <w:rPr>
          <w:rFonts w:ascii="PermianSlabSerifTypeface" w:hAnsi="PermianSlabSerifTypeface" w:cs="Times New Roman"/>
          <w:color w:val="000000" w:themeColor="text1"/>
          <w:sz w:val="22"/>
          <w:szCs w:val="22"/>
          <w:lang w:val="ro-MD" w:eastAsia="ro-MD"/>
        </w:rPr>
        <w:t>.</w:t>
      </w:r>
    </w:p>
    <w:p w14:paraId="332AFB1E" w14:textId="77777777" w:rsidR="008B6710" w:rsidRPr="006C713C" w:rsidRDefault="008B6710" w:rsidP="007307EC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lastRenderedPageBreak/>
        <w:t>Pentru obținerea aprobării prealabile</w:t>
      </w:r>
      <w:r w:rsidR="00395DE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 Băncii Naționale a Moldovei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societatea depune la </w:t>
      </w:r>
      <w:r w:rsidR="002F174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Banca Națională a Moldovei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o cerere la care anexează </w:t>
      </w:r>
      <w:r w:rsidR="00C74A72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cel puțin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următoarele documente și informații:</w:t>
      </w:r>
    </w:p>
    <w:p w14:paraId="12F06CFE" w14:textId="77777777" w:rsidR="008B6710" w:rsidRPr="006C713C" w:rsidRDefault="00026DC0" w:rsidP="00587F0F">
      <w:pPr>
        <w:pStyle w:val="ListParagraph"/>
        <w:numPr>
          <w:ilvl w:val="0"/>
          <w:numId w:val="56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eastAsia="Times New Roman" w:hAnsi="PermianSlabSerifTypeface" w:cs="Times New Roman"/>
          <w:sz w:val="22"/>
          <w:szCs w:val="22"/>
        </w:rPr>
        <w:t xml:space="preserve">decizia </w:t>
      </w:r>
      <w:r w:rsidR="00E81BDA" w:rsidRPr="006C713C">
        <w:rPr>
          <w:rFonts w:ascii="PermianSlabSerifTypeface" w:eastAsia="Times New Roman" w:hAnsi="PermianSlabSerifTypeface" w:cs="Times New Roman"/>
          <w:sz w:val="22"/>
          <w:szCs w:val="22"/>
        </w:rPr>
        <w:t xml:space="preserve">consiliului societății </w:t>
      </w:r>
      <w:r w:rsidR="00441E32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privind externalizarea funcției </w:t>
      </w:r>
      <w:r w:rsidR="002F174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</w:t>
      </w:r>
      <w:r w:rsidR="00441E32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activității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2C91FD81" w14:textId="7CACDF96" w:rsidR="008B6710" w:rsidRPr="006C713C" w:rsidRDefault="00B513EA" w:rsidP="00587F0F">
      <w:pPr>
        <w:pStyle w:val="ListParagraph"/>
        <w:numPr>
          <w:ilvl w:val="0"/>
          <w:numId w:val="56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R</w:t>
      </w:r>
      <w:r w:rsidR="0005072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aport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ul</w:t>
      </w:r>
      <w:r w:rsidR="0005072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privind 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rezultatele evaluării furnizorului </w:t>
      </w:r>
      <w:r w:rsidR="00EB5637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întocmit conform</w:t>
      </w:r>
      <w:r w:rsidR="00EB563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pct. </w:t>
      </w:r>
      <w:r w:rsidR="00CF5B78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8</w:t>
      </w:r>
      <w:r w:rsidR="00AD6E98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semnat de membrul împuternicit al organului de conducere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77B6FE4C" w14:textId="77777777" w:rsidR="008B6710" w:rsidRPr="006C713C" w:rsidRDefault="008B6710" w:rsidP="00587F0F">
      <w:pPr>
        <w:pStyle w:val="ListParagraph"/>
        <w:numPr>
          <w:ilvl w:val="0"/>
          <w:numId w:val="56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fundamentarea economică a externalizării funcției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activității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 descrierea detaliată a acestei funcții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sau activități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inclusiv a motivelor care au justificat externalizarea;</w:t>
      </w:r>
    </w:p>
    <w:p w14:paraId="4246B1E7" w14:textId="77777777" w:rsidR="008B6710" w:rsidRPr="006C713C" w:rsidRDefault="008B6710" w:rsidP="00587F0F">
      <w:pPr>
        <w:pStyle w:val="ListParagraph"/>
        <w:numPr>
          <w:ilvl w:val="0"/>
          <w:numId w:val="56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planul de analiză și gestiune a riscurilor asociate externalizării respective, inclusiv măsurile ce urmează a fi implementate de către societatea </w:t>
      </w:r>
      <w:r w:rsidR="00616B7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î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n scopul asigurării stabilității, performanței și continuității la nivelul funcției </w:t>
      </w:r>
      <w:r w:rsidR="00E81BDA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activității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care se intenționează a fi externalizată;</w:t>
      </w:r>
    </w:p>
    <w:p w14:paraId="2D23D458" w14:textId="77777777" w:rsidR="008B6710" w:rsidRPr="006C713C" w:rsidRDefault="008B6710" w:rsidP="00587F0F">
      <w:pPr>
        <w:pStyle w:val="ListParagraph"/>
        <w:numPr>
          <w:ilvl w:val="0"/>
          <w:numId w:val="56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impactul estimat asupra situației și performanței financiare a societății</w:t>
      </w:r>
      <w:r w:rsidR="002757EB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urmare a externalizării;</w:t>
      </w:r>
    </w:p>
    <w:p w14:paraId="5295FD3F" w14:textId="77777777" w:rsidR="008B6710" w:rsidRPr="006C713C" w:rsidRDefault="008B6710" w:rsidP="00CF5B78">
      <w:pPr>
        <w:pStyle w:val="ListParagraph"/>
        <w:numPr>
          <w:ilvl w:val="0"/>
          <w:numId w:val="56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prezentarea informației despre furnizor</w:t>
      </w:r>
      <w:r w:rsidR="00B57F19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cu </w:t>
      </w:r>
      <w:r w:rsidR="00B57F19" w:rsidRPr="00B57F19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excepția cazului în care potențialul furnizor este o societate  din Republica Moldova sau o sucursală al societății din stat terț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care să cuprindă cel puţin: denumirea, sediul, genu</w:t>
      </w:r>
      <w:r w:rsidR="00B03EC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rile de activitate, licențele/autorizațiile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capacitatea, resursele, inclusiv umane, IT şi financiare, piaţa de operare şi poziţia de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piață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 acestuia, structura organizatorică, date privind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experiența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relevantă a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angajaților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responsabili de exercitarea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activității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externalizate, modelul de </w:t>
      </w:r>
      <w:r w:rsidR="00875B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afacer</w:t>
      </w:r>
      <w:r w:rsidR="00875B84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</w:t>
      </w:r>
      <w:r w:rsidR="00875B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</w:t>
      </w:r>
      <w:r w:rsidR="00E25D26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l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furnizorului, natura, amploarea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complexitatea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activității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acestuia,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situațiile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financiare pentru cel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puțin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ultimii 3 ani de activitate,</w:t>
      </w:r>
      <w:r w:rsidR="002E008C" w:rsidRPr="006C713C">
        <w:rPr>
          <w:rFonts w:ascii="PermianSlabSerifTypeface" w:eastAsia="Calibri" w:hAnsi="PermianSlabSerifTypeface" w:cs="Times New Roman"/>
          <w:sz w:val="22"/>
          <w:szCs w:val="22"/>
        </w:rPr>
        <w:t xml:space="preserve"> </w:t>
      </w:r>
      <w:r w:rsidR="002E008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documentul care atestă că </w:t>
      </w:r>
      <w:r w:rsidR="00E25D26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furnizorul</w:t>
      </w:r>
      <w:r w:rsidR="002E008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nu are antecedente penale,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indicarea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apartenenței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furnizorului la grupul din care face parte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precizarea includerii sau neincluderii acestuia în supravegherea consolidată la nivel de grup;</w:t>
      </w:r>
    </w:p>
    <w:p w14:paraId="5F214C73" w14:textId="77777777" w:rsidR="008B6710" w:rsidRPr="006C713C" w:rsidRDefault="008B6710" w:rsidP="00587F0F">
      <w:pPr>
        <w:pStyle w:val="ListParagraph"/>
        <w:numPr>
          <w:ilvl w:val="0"/>
          <w:numId w:val="56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proiectul contractului de externalizare;</w:t>
      </w:r>
    </w:p>
    <w:p w14:paraId="1B7ECD91" w14:textId="77777777" w:rsidR="008B6710" w:rsidRPr="006C713C" w:rsidRDefault="008B6710" w:rsidP="00587F0F">
      <w:pPr>
        <w:pStyle w:val="ListParagraph"/>
        <w:numPr>
          <w:ilvl w:val="0"/>
          <w:numId w:val="56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reglementările interne ale societății privind externalizarea funcțiilor </w:t>
      </w:r>
      <w:r w:rsidR="00B24875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="00B2487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activităților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aprobate de organul de conducere </w:t>
      </w:r>
      <w:r w:rsidR="005100C3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împuternicit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prin statut sau lege, care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conțin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cel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puțin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următoarele:</w:t>
      </w:r>
    </w:p>
    <w:p w14:paraId="6AA0FBD4" w14:textId="77777777" w:rsidR="008B6710" w:rsidRPr="006C713C" w:rsidRDefault="008B6710" w:rsidP="00587F0F">
      <w:pPr>
        <w:pStyle w:val="ListParagraph"/>
        <w:numPr>
          <w:ilvl w:val="1"/>
          <w:numId w:val="57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criteriile de selectare a furnizorului </w:t>
      </w:r>
      <w:r w:rsidR="007A3A93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în dependență de funcția</w:t>
      </w:r>
      <w:r w:rsidR="007A3A93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6700C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activit</w:t>
      </w:r>
      <w:r w:rsidR="007A3A93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atea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externalizat</w:t>
      </w:r>
      <w:r w:rsidR="007A3A93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ă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3CE9F125" w14:textId="77777777" w:rsidR="008B6710" w:rsidRPr="006C713C" w:rsidRDefault="008B6710" w:rsidP="00587F0F">
      <w:pPr>
        <w:pStyle w:val="ListParagraph"/>
        <w:numPr>
          <w:ilvl w:val="1"/>
          <w:numId w:val="57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principiile utilizate în procesul de externalizare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ținând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cont de specificul funcției </w:t>
      </w:r>
      <w:r w:rsidR="006700C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activității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externalizate;</w:t>
      </w:r>
    </w:p>
    <w:p w14:paraId="75D4FF51" w14:textId="77777777" w:rsidR="00E1227A" w:rsidRDefault="008B6710" w:rsidP="00587F0F">
      <w:pPr>
        <w:pStyle w:val="ListParagraph"/>
        <w:numPr>
          <w:ilvl w:val="1"/>
          <w:numId w:val="57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descrierea modului de reintegrare a respectivei funcții </w:t>
      </w:r>
      <w:r w:rsidR="00B24875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sau</w:t>
      </w:r>
      <w:r w:rsidR="00B2487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activități</w:t>
      </w:r>
      <w:r w:rsidR="00E1227A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în activitatea societății;</w:t>
      </w:r>
    </w:p>
    <w:p w14:paraId="0753AF54" w14:textId="00CEBA3E" w:rsidR="008B6710" w:rsidRPr="006C713C" w:rsidRDefault="008B6710" w:rsidP="00587F0F">
      <w:pPr>
        <w:pStyle w:val="ListParagraph"/>
        <w:numPr>
          <w:ilvl w:val="1"/>
          <w:numId w:val="57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cadrului de evaluare a riscurilor asociate funcției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sau activități</w:t>
      </w:r>
      <w:r w:rsidR="00B24875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externalizate şi a procesului de evaluare, gestionare, şi control </w:t>
      </w:r>
      <w:r w:rsidR="00E13028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conform pct. </w:t>
      </w:r>
      <w:r w:rsidR="009B01B4" w:rsidRPr="00ED239E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2</w:t>
      </w:r>
      <w:r w:rsidR="009B01B4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7 subpct. 1 lit. b),  supbct. (3) lit.a) și lit. d), </w:t>
      </w:r>
      <w:r w:rsidR="00E13028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subpct (8) și subpct (9), pct. </w:t>
      </w:r>
      <w:r w:rsidR="009B01B4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30</w:t>
      </w:r>
      <w:r w:rsidR="00E13028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pct. </w:t>
      </w:r>
      <w:r w:rsidR="009B01B4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31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3079E862" w14:textId="77777777" w:rsidR="002A25AF" w:rsidRPr="006C713C" w:rsidRDefault="002A25AF" w:rsidP="00587F0F">
      <w:pPr>
        <w:pStyle w:val="ListParagraph"/>
        <w:numPr>
          <w:ilvl w:val="1"/>
          <w:numId w:val="57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cerințele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cu privire la modul de ajustare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perfecționare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D748B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 mecanismului de control intern, 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 sistemului de raportare internă, inclusiv raportarea către organul de conducere a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societății 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despre schimbările profilului de risc aferent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funcției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B24875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sau</w:t>
      </w:r>
      <w:r w:rsidR="00B2487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activității 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externalizate, pentru a se asigura că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funcția </w:t>
      </w:r>
      <w:r w:rsidR="00D748B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</w:t>
      </w:r>
      <w:r w:rsidR="00D8761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activitatea 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nu afectează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guvernanța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corporativă eficientă a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societății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4FD4BA49" w14:textId="77777777" w:rsidR="008B6710" w:rsidRPr="006C713C" w:rsidRDefault="00C3050C" w:rsidP="00587F0F">
      <w:pPr>
        <w:pStyle w:val="ListParagraph"/>
        <w:numPr>
          <w:ilvl w:val="0"/>
          <w:numId w:val="56"/>
        </w:numPr>
        <w:tabs>
          <w:tab w:val="left" w:pos="284"/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copia</w:t>
      </w:r>
      <w:r w:rsidR="00E8215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semnată de societate, 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licenței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A7040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/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A25A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autorizației</w:t>
      </w:r>
      <w:r w:rsidR="00A52A60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furnizorului</w:t>
      </w:r>
      <w:r w:rsidR="008B6710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dacă există, valabilă la data depunerii cererii</w:t>
      </w:r>
      <w:r w:rsidR="00746C48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620E7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cu excepția cazului în care potențialul furnizor este o societate  din Republica Moldova</w:t>
      </w:r>
      <w:r w:rsidR="00DF140F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sau o sucursală al societății din stat terț</w:t>
      </w:r>
      <w:r w:rsidR="00620E7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. </w:t>
      </w:r>
    </w:p>
    <w:p w14:paraId="2EFB75B0" w14:textId="1F7F29A4" w:rsidR="002A25AF" w:rsidRPr="006C713C" w:rsidRDefault="002A25AF" w:rsidP="00067A4E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Cererea, documentele și informațiile indicate la </w:t>
      </w:r>
      <w:r w:rsidR="00AC4888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pct. </w:t>
      </w:r>
      <w:r w:rsidR="00587127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17</w:t>
      </w:r>
      <w:r w:rsidR="00382048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se întocmesc în limba română și se semnează de către persoana împuternicită </w:t>
      </w:r>
      <w:r w:rsidR="00382048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al societății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.</w:t>
      </w:r>
    </w:p>
    <w:p w14:paraId="7FDE9B61" w14:textId="62C99050" w:rsidR="00792BF7" w:rsidRPr="006C713C" w:rsidRDefault="002A25AF" w:rsidP="00067A4E">
      <w:pPr>
        <w:pStyle w:val="ListParagraph"/>
        <w:numPr>
          <w:ilvl w:val="0"/>
          <w:numId w:val="4"/>
        </w:numPr>
        <w:tabs>
          <w:tab w:val="left" w:pos="426"/>
          <w:tab w:val="left" w:pos="851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Î</w:t>
      </w:r>
      <w:r w:rsidR="004370C6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n cazul în care documentația și/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informațiile specificate la pct. </w:t>
      </w:r>
      <w:r w:rsidR="00587127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17</w:t>
      </w:r>
      <w:r w:rsidR="004156A3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sunt incomplete, </w:t>
      </w:r>
      <w:r w:rsidR="00E55C5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Banca Națională a Moldovei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informează despre aceasta societatea  în termen de </w:t>
      </w:r>
      <w:r w:rsidR="0021235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până la 10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zile </w:t>
      </w:r>
      <w:r w:rsidR="0021235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lucrătoare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de la data depunerii cererii</w:t>
      </w:r>
      <w:r w:rsidR="002A169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. În termen de </w:t>
      </w:r>
      <w:r w:rsidR="00EF7803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20</w:t>
      </w:r>
      <w:r w:rsidR="007E0F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A169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zile </w:t>
      </w:r>
      <w:r w:rsidR="0021235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lucrătoare </w:t>
      </w:r>
      <w:r w:rsidR="002A169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de la data recepționării </w:t>
      </w:r>
      <w:r w:rsidR="002A169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lastRenderedPageBreak/>
        <w:t xml:space="preserve">notificării </w:t>
      </w:r>
      <w:r w:rsidR="008667D8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Băncii Naționale a Moldovei</w:t>
      </w:r>
      <w:r w:rsidR="002A169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societatea completează și </w:t>
      </w:r>
      <w:r w:rsidR="008D37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prezintă </w:t>
      </w:r>
      <w:r w:rsidR="00792BF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la Banca Națională a Moldovei </w:t>
      </w:r>
      <w:r w:rsidR="002A169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documentele și / sau informațiile lipsă.</w:t>
      </w:r>
      <w:r w:rsidR="0072130B" w:rsidRPr="006C713C">
        <w:rPr>
          <w:rFonts w:ascii="PermianSlabSerifTypeface" w:hAnsi="PermianSlabSerifTypeface" w:cs="Times New Roman"/>
          <w:sz w:val="22"/>
          <w:szCs w:val="22"/>
        </w:rPr>
        <w:t xml:space="preserve"> </w:t>
      </w:r>
    </w:p>
    <w:p w14:paraId="19FBCC28" w14:textId="428B31A6" w:rsidR="002A25AF" w:rsidRPr="006C713C" w:rsidRDefault="0072130B" w:rsidP="00067A4E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sz w:val="22"/>
          <w:szCs w:val="22"/>
        </w:rPr>
        <w:t xml:space="preserve">În cazul în care </w:t>
      </w:r>
      <w:r w:rsidR="00746C48" w:rsidRPr="006C713C">
        <w:rPr>
          <w:rFonts w:ascii="PermianSlabSerifTypeface" w:hAnsi="PermianSlabSerifTypeface" w:cs="Times New Roman"/>
          <w:sz w:val="22"/>
          <w:szCs w:val="22"/>
        </w:rPr>
        <w:t xml:space="preserve">societatea </w:t>
      </w:r>
      <w:r w:rsidRPr="006C713C">
        <w:rPr>
          <w:rFonts w:ascii="PermianSlabSerifTypeface" w:hAnsi="PermianSlabSerifTypeface" w:cs="Times New Roman"/>
          <w:sz w:val="22"/>
          <w:szCs w:val="22"/>
        </w:rPr>
        <w:t>nu completează în termenul prevăzut</w:t>
      </w:r>
      <w:r w:rsidR="00BA2248" w:rsidRPr="006C713C">
        <w:rPr>
          <w:rFonts w:ascii="PermianSlabSerifTypeface" w:hAnsi="PermianSlabSerifTypeface" w:cs="Times New Roman"/>
          <w:sz w:val="22"/>
          <w:szCs w:val="22"/>
        </w:rPr>
        <w:t xml:space="preserve"> la pct. </w:t>
      </w:r>
      <w:r w:rsidR="005B1946">
        <w:rPr>
          <w:rFonts w:ascii="PermianSlabSerifTypeface" w:hAnsi="PermianSlabSerifTypeface" w:cs="Times New Roman"/>
          <w:sz w:val="22"/>
          <w:szCs w:val="22"/>
        </w:rPr>
        <w:t>19</w:t>
      </w:r>
      <w:r w:rsidR="00694B77" w:rsidRPr="006C713C">
        <w:rPr>
          <w:rFonts w:ascii="PermianSlabSerifTypeface" w:hAnsi="PermianSlabSerifTypeface" w:cs="Times New Roman"/>
          <w:sz w:val="22"/>
          <w:szCs w:val="22"/>
        </w:rPr>
        <w:t xml:space="preserve"> </w:t>
      </w:r>
      <w:r w:rsidRPr="006C713C">
        <w:rPr>
          <w:rFonts w:ascii="PermianSlabSerifTypeface" w:hAnsi="PermianSlabSerifTypeface" w:cs="Times New Roman"/>
          <w:sz w:val="22"/>
          <w:szCs w:val="22"/>
        </w:rPr>
        <w:t xml:space="preserve">setul de documente şi informaţii, Banca Naţională a Moldovei informează despre </w:t>
      </w:r>
      <w:r w:rsidR="00380158">
        <w:rPr>
          <w:rFonts w:ascii="PermianSlabSerifTypeface" w:hAnsi="PermianSlabSerifTypeface" w:cs="Times New Roman"/>
          <w:sz w:val="22"/>
          <w:szCs w:val="22"/>
        </w:rPr>
        <w:t>f</w:t>
      </w:r>
      <w:r w:rsidR="006B36E1">
        <w:rPr>
          <w:rFonts w:ascii="PermianSlabSerifTypeface" w:hAnsi="PermianSlabSerifTypeface" w:cs="Times New Roman"/>
          <w:sz w:val="22"/>
          <w:szCs w:val="22"/>
        </w:rPr>
        <w:t>inaliz</w:t>
      </w:r>
      <w:r w:rsidR="00380158" w:rsidRPr="006C713C">
        <w:rPr>
          <w:rFonts w:ascii="PermianSlabSerifTypeface" w:hAnsi="PermianSlabSerifTypeface" w:cs="Times New Roman"/>
          <w:sz w:val="22"/>
          <w:szCs w:val="22"/>
        </w:rPr>
        <w:t xml:space="preserve">area </w:t>
      </w:r>
      <w:r w:rsidRPr="006C713C">
        <w:rPr>
          <w:rFonts w:ascii="PermianSlabSerifTypeface" w:hAnsi="PermianSlabSerifTypeface" w:cs="Times New Roman"/>
          <w:sz w:val="22"/>
          <w:szCs w:val="22"/>
        </w:rPr>
        <w:t>procedurii administrative în termen de 3 zile lucrătoare de la expirarea termenului acordat</w:t>
      </w:r>
      <w:r w:rsidR="00EF7803" w:rsidRPr="006C713C">
        <w:rPr>
          <w:rFonts w:ascii="PermianSlabSerifTypeface" w:hAnsi="PermianSlabSerifTypeface" w:cs="Times New Roman"/>
          <w:sz w:val="22"/>
          <w:szCs w:val="22"/>
        </w:rPr>
        <w:t>.</w:t>
      </w:r>
      <w:r w:rsidRPr="006C713C">
        <w:rPr>
          <w:rFonts w:ascii="PermianSlabSerifTypeface" w:hAnsi="PermianSlabSerifTypeface" w:cs="Times New Roman"/>
          <w:sz w:val="22"/>
          <w:szCs w:val="22"/>
        </w:rPr>
        <w:t xml:space="preserve"> </w:t>
      </w:r>
    </w:p>
    <w:p w14:paraId="6BD3CE01" w14:textId="77777777" w:rsidR="0061556B" w:rsidRPr="006C713C" w:rsidRDefault="00BA2248" w:rsidP="00067A4E">
      <w:pPr>
        <w:pStyle w:val="ListParagraph"/>
        <w:numPr>
          <w:ilvl w:val="0"/>
          <w:numId w:val="4"/>
        </w:numPr>
        <w:tabs>
          <w:tab w:val="left" w:pos="284"/>
          <w:tab w:val="left" w:pos="709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În termen de 30 de zile de la data primirii setului complet de documente în conformitate cu prezentul capitol, Banca Naţională a Moldovei eliberează aprobarea prealabilă privind externalizarea funcți</w:t>
      </w:r>
      <w:r w:rsidR="007E0F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sau activităţi</w:t>
      </w:r>
      <w:r w:rsidR="007E0F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sau respinge cererea, informând în scris societatea despre decizia sa</w:t>
      </w:r>
      <w:r w:rsidR="0061556B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.</w:t>
      </w:r>
    </w:p>
    <w:p w14:paraId="3792F466" w14:textId="0F4F6F6A" w:rsidR="00BA2248" w:rsidRPr="006C713C" w:rsidRDefault="00BA2248" w:rsidP="00567024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În cazul în care documentele şi informaţiile prezentate conform prezentului capitol sunt insuficiente pentru a lua o decizie cu privire la cererea de aprobare prealabilă privind externalizarea funcției sau activităţii, Banca Naţională a Moldovei este în drept să solicite prezentarea documentelor şi a informaţiilor suplimentare. Banca Naţională a Moldovei poate stabili un termen mai mare pentru emiterea deciziei prevăzute la pct.</w:t>
      </w:r>
      <w:r w:rsidR="005B1946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21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care nu va depăşi 90 de zile, în condiţiile Codului Administrativ</w:t>
      </w:r>
      <w:r w:rsidR="009E0A84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al Republicii Moldova nr.116/2018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cu informarea societății </w:t>
      </w:r>
    </w:p>
    <w:p w14:paraId="1BB6C699" w14:textId="36DBF718" w:rsidR="00BA2248" w:rsidRPr="006C713C" w:rsidRDefault="00BA2248" w:rsidP="00567024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Societatea este obligată să prezinte informaţiile şi documentele suplimentare în termenul indicat de Banca Naţională a Moldovei, perioadă pe parcursul căreia termenul prevăzut la pct.</w:t>
      </w:r>
      <w:r w:rsidR="005B1946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21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după caz, pct.</w:t>
      </w:r>
      <w:r w:rsidR="005B1946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22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 se suspendă.</w:t>
      </w:r>
    </w:p>
    <w:p w14:paraId="4DED9161" w14:textId="77777777" w:rsidR="00766269" w:rsidRPr="006C713C" w:rsidRDefault="00766269" w:rsidP="007E0F84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Aprobarea prealabilă pentru externalizarea funcțiilor </w:t>
      </w:r>
      <w:r w:rsidR="00F35FE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sau </w:t>
      </w:r>
      <w:r w:rsidR="008D0A2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activităților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emisă de către </w:t>
      </w:r>
      <w:r w:rsidR="00030B6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Banca Națională a Moldovei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nu este </w:t>
      </w:r>
      <w:r w:rsidR="00BA2248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transferabilă altei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persoane și este valabilă doar pe durata </w:t>
      </w:r>
      <w:r w:rsidR="00E55C5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contactului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de externalizare încheiat între societate și furnizor.</w:t>
      </w:r>
    </w:p>
    <w:p w14:paraId="2DEF201D" w14:textId="77777777" w:rsidR="00766269" w:rsidRPr="006C713C" w:rsidRDefault="00F74B8A" w:rsidP="007E0F84">
      <w:pPr>
        <w:pStyle w:val="ListParagraph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În caz de respingere a cererii pentru </w:t>
      </w:r>
      <w:r w:rsidR="005506E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obținerea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aprobării prealabile </w:t>
      </w:r>
      <w:r w:rsidR="00F35FE5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a Băncii Naționale a Moldovei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privind externalizarea</w:t>
      </w:r>
      <w:r w:rsidR="00E90FF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funcțiilor sau activităţilor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se vor indica temeiurile în baza cărora se respinge cererea. </w:t>
      </w:r>
      <w:r w:rsidR="0076626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Drept temei pentru respingerea a cererii de aprobare prealabilă </w:t>
      </w:r>
      <w:r w:rsidR="0025339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 Băncii Naționale a Moldovei privind</w:t>
      </w:r>
      <w:r w:rsidR="0076626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25339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externalizarea </w:t>
      </w:r>
      <w:r w:rsidR="001D720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funcțiilor sau activităţilor </w:t>
      </w:r>
      <w:r w:rsidR="0076626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sunt considerate următoarele:</w:t>
      </w:r>
    </w:p>
    <w:p w14:paraId="49AFC543" w14:textId="77777777" w:rsidR="00766269" w:rsidRPr="006C713C" w:rsidRDefault="00766269" w:rsidP="00587F0F">
      <w:pPr>
        <w:pStyle w:val="ListParagraph"/>
        <w:numPr>
          <w:ilvl w:val="0"/>
          <w:numId w:val="38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prezentarea </w:t>
      </w:r>
      <w:r w:rsidR="00F76FF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Băncii Naționale a Moldovei</w:t>
      </w:r>
      <w:r w:rsidR="00313421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a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informației eronate pentru luarea deciziei de emitere a aprobării prealabile</w:t>
      </w:r>
      <w:r w:rsidR="00E55C5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privind externalizarea </w:t>
      </w:r>
      <w:r w:rsidR="007E0F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funcțiilor </w:t>
      </w:r>
      <w:r w:rsidR="00E55C5C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sau activități</w:t>
      </w:r>
      <w:r w:rsidR="007E0F84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772F752D" w14:textId="02CF706D" w:rsidR="00766269" w:rsidRPr="006C713C" w:rsidRDefault="00313421" w:rsidP="00587F0F">
      <w:pPr>
        <w:pStyle w:val="ListParagraph"/>
        <w:numPr>
          <w:ilvl w:val="0"/>
          <w:numId w:val="38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cazul în care informaţia de care dispune </w:t>
      </w:r>
      <w:r w:rsidR="00935DCE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Banca Națională a Moldovei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</w:t>
      </w:r>
      <w:r w:rsidR="0076626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inclusiv rezultatele evaluării efectuate conform pct. </w:t>
      </w:r>
      <w:r w:rsidR="00E674BD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8</w:t>
      </w:r>
      <w:r w:rsidR="0076626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, </w:t>
      </w:r>
      <w:r w:rsidR="005C788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și/sau orice fapte sau circumstanțe cunoscute Băncii Naționale a Moldovei generează suspiciuni că furnizorul nu dispune de o reputație de afaceri bună</w:t>
      </w:r>
      <w:r w:rsidR="00766269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46EC8424" w14:textId="4B8A5641" w:rsidR="00EE737E" w:rsidRPr="006C713C" w:rsidRDefault="00766269" w:rsidP="00587F0F">
      <w:pPr>
        <w:pStyle w:val="ListParagraph"/>
        <w:numPr>
          <w:ilvl w:val="0"/>
          <w:numId w:val="38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necorespunderea proiectului contractului de externalizare prevederilor </w:t>
      </w:r>
      <w:r w:rsidR="00B8419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specificate la Capitolul II</w:t>
      </w:r>
      <w:r w:rsidR="00EE737E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;</w:t>
      </w:r>
    </w:p>
    <w:p w14:paraId="7A963550" w14:textId="39BF39D0" w:rsidR="00EE737E" w:rsidRPr="006C713C" w:rsidRDefault="00EE737E" w:rsidP="00587F0F">
      <w:pPr>
        <w:pStyle w:val="ListParagraph"/>
        <w:numPr>
          <w:ilvl w:val="0"/>
          <w:numId w:val="38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necorespunderea </w:t>
      </w:r>
      <w:r w:rsidR="00C300B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cerințelor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C300B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prevăzute la art. 43 alin. (5)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</w:t>
      </w:r>
      <w:r w:rsidR="00C300B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și alin. (9) din 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Leg</w:t>
      </w:r>
      <w:r w:rsidR="00C300B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ea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nr. 92/2022</w:t>
      </w:r>
      <w:r w:rsidR="00B84197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și actelor normative ale </w:t>
      </w:r>
      <w:r w:rsidR="00E55C0D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Băncii Naționale a Moldovei</w:t>
      </w:r>
      <w:r w:rsidR="0056693D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,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ca urmare a externalizării funcției </w:t>
      </w:r>
      <w:r w:rsidR="008D0A2F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sau activității</w:t>
      </w: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 xml:space="preserve"> respective;</w:t>
      </w:r>
    </w:p>
    <w:p w14:paraId="6F882EE7" w14:textId="6B18BF4A" w:rsidR="009B14D8" w:rsidRPr="006C713C" w:rsidRDefault="00EE737E" w:rsidP="00587F0F">
      <w:pPr>
        <w:pStyle w:val="ListParagraph"/>
        <w:numPr>
          <w:ilvl w:val="0"/>
          <w:numId w:val="38"/>
        </w:numPr>
        <w:tabs>
          <w:tab w:val="left" w:pos="142"/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constatarea disproporționalității, inclusiv a insuficienței măsurilor de control ale societății raportate la riscurile asociate externalizării sau constatarea unor riscuri semnificative disproporționale beneficiilor invocate de către societate.</w:t>
      </w:r>
    </w:p>
    <w:p w14:paraId="567C4309" w14:textId="77777777" w:rsidR="009B14D8" w:rsidRPr="006C713C" w:rsidRDefault="009B14D8" w:rsidP="00805F2C">
      <w:pPr>
        <w:jc w:val="both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</w:p>
    <w:p w14:paraId="7824987E" w14:textId="77777777" w:rsidR="00EE737E" w:rsidRPr="006C713C" w:rsidRDefault="00EE737E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  <w:t>Capitolul IV</w:t>
      </w:r>
    </w:p>
    <w:p w14:paraId="2EFB0D04" w14:textId="77777777" w:rsidR="00EE737E" w:rsidRPr="006C713C" w:rsidRDefault="00EE737E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  <w:t>ADMINISTRAREA RISCURILOR ASOCIATE EXTERNALIZĂRII</w:t>
      </w:r>
    </w:p>
    <w:p w14:paraId="702F1403" w14:textId="77777777" w:rsidR="00EE737E" w:rsidRPr="006C713C" w:rsidRDefault="00EE737E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</w:p>
    <w:p w14:paraId="591FB4D1" w14:textId="6B3076ED" w:rsidR="00B84197" w:rsidRPr="006C713C" w:rsidRDefault="00C51F5F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</w:rPr>
        <w:t>26</w:t>
      </w:r>
      <w:r w:rsidR="00B84197" w:rsidRPr="006C713C">
        <w:rPr>
          <w:rFonts w:ascii="PermianSlabSerifTypeface" w:hAnsi="PermianSlabSerifTypeface"/>
          <w:b/>
          <w:color w:val="000000" w:themeColor="text1"/>
          <w:sz w:val="22"/>
          <w:szCs w:val="22"/>
        </w:rPr>
        <w:t>.</w:t>
      </w:r>
      <w:r w:rsidR="00B84197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Societatea alocă suficiente resurse pentru a asigura respectarea </w:t>
      </w:r>
      <w:r w:rsidR="00F734B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cerințelor</w:t>
      </w:r>
      <w:r w:rsidR="00B84197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aferente externalizării stabilite de către </w:t>
      </w:r>
      <w:r w:rsidR="00935DCE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Banca Națională a Moldovei </w:t>
      </w:r>
      <w:r w:rsidR="00B84197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şi întreprinde măsurile necesare pentru a asigura continuitatea </w:t>
      </w:r>
      <w:r w:rsidR="00B450CB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exercitării funcțiilor și </w:t>
      </w:r>
      <w:r w:rsidR="00F734B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desfășurării</w:t>
      </w:r>
      <w:r w:rsidR="00B84197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F734B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activităților</w:t>
      </w:r>
      <w:r w:rsidR="00B84197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externalizate, precum </w:t>
      </w:r>
      <w:r w:rsidR="00DE5084">
        <w:rPr>
          <w:rFonts w:ascii="PermianSlabSerifTypeface" w:hAnsi="PermianSlabSerifTypeface"/>
          <w:color w:val="000000" w:themeColor="text1"/>
          <w:sz w:val="22"/>
          <w:szCs w:val="22"/>
        </w:rPr>
        <w:t xml:space="preserve">și </w:t>
      </w:r>
      <w:r w:rsidR="00B84197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documentarea şi monitorizarea </w:t>
      </w:r>
      <w:r w:rsidR="00B450CB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funcțiilor și </w:t>
      </w:r>
      <w:r w:rsidR="00F734B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activităților</w:t>
      </w:r>
      <w:r w:rsidR="00B84197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externalizate</w:t>
      </w:r>
      <w:r w:rsidR="00983B70" w:rsidRPr="006C713C">
        <w:rPr>
          <w:rFonts w:ascii="PermianSlabSerifTypeface" w:hAnsi="PermianSlabSerifTypeface"/>
          <w:color w:val="000000" w:themeColor="text1"/>
          <w:sz w:val="22"/>
          <w:szCs w:val="22"/>
        </w:rPr>
        <w:t>.</w:t>
      </w:r>
    </w:p>
    <w:p w14:paraId="3068AE56" w14:textId="7B8ED314" w:rsidR="00B60C25" w:rsidRPr="006C713C" w:rsidRDefault="00C51F5F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</w:rPr>
        <w:lastRenderedPageBreak/>
        <w:t>27</w:t>
      </w:r>
      <w:r w:rsidR="00983B70" w:rsidRPr="006C713C">
        <w:rPr>
          <w:rFonts w:ascii="PermianSlabSerifTypeface" w:hAnsi="PermianSlabSerifTypeface"/>
          <w:b/>
          <w:color w:val="000000" w:themeColor="text1"/>
          <w:sz w:val="22"/>
          <w:szCs w:val="22"/>
        </w:rPr>
        <w:t>.</w:t>
      </w:r>
      <w:r w:rsidR="00983B7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364E23" w:rsidRPr="006C713C">
        <w:rPr>
          <w:rFonts w:ascii="PermianSlabSerifTypeface" w:hAnsi="PermianSlabSerifTypeface"/>
          <w:color w:val="000000" w:themeColor="text1"/>
          <w:sz w:val="22"/>
          <w:szCs w:val="22"/>
        </w:rPr>
        <w:t>Societ</w:t>
      </w:r>
      <w:r w:rsidR="00364E23">
        <w:rPr>
          <w:rFonts w:ascii="PermianSlabSerifTypeface" w:hAnsi="PermianSlabSerifTypeface"/>
          <w:color w:val="000000" w:themeColor="text1"/>
          <w:sz w:val="22"/>
          <w:szCs w:val="22"/>
        </w:rPr>
        <w:t>atea</w:t>
      </w:r>
      <w:r w:rsidR="00364E23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EE737E" w:rsidRPr="006C713C">
        <w:rPr>
          <w:rFonts w:ascii="PermianSlabSerifTypeface" w:hAnsi="PermianSlabSerifTypeface"/>
          <w:color w:val="000000" w:themeColor="text1"/>
          <w:sz w:val="22"/>
          <w:szCs w:val="22"/>
        </w:rPr>
        <w:t>stabile</w:t>
      </w:r>
      <w:r w:rsidR="00364E23">
        <w:rPr>
          <w:rFonts w:ascii="PermianSlabSerifTypeface" w:hAnsi="PermianSlabSerifTypeface"/>
          <w:color w:val="000000" w:themeColor="text1"/>
          <w:sz w:val="22"/>
          <w:szCs w:val="22"/>
        </w:rPr>
        <w:t>ște</w:t>
      </w:r>
      <w:r w:rsidR="00EE737E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, în scris, politica 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privind </w:t>
      </w:r>
      <w:r w:rsidR="00EE737E" w:rsidRPr="006C713C">
        <w:rPr>
          <w:rFonts w:ascii="PermianSlabSerifTypeface" w:hAnsi="PermianSlabSerifTypeface"/>
          <w:color w:val="000000" w:themeColor="text1"/>
          <w:sz w:val="22"/>
          <w:szCs w:val="22"/>
        </w:rPr>
        <w:t>externaliz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are</w:t>
      </w:r>
      <w:r w:rsidR="00BC701C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</w:t>
      </w:r>
      <w:r w:rsidR="00BC701C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funcțiilor sau activităţilor</w:t>
      </w:r>
      <w:r w:rsidR="00983B7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>și asigură implementarea acestei</w:t>
      </w:r>
      <w:r w:rsidR="00983B70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. Politica include dezvoltarea principalelor etape ale procesului de externalizare, definirea principiilor, </w:t>
      </w:r>
      <w:r w:rsidR="00F734B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responsabilităților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F734B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și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proceselor legate de externalizare, inclusiv modul de gestionare a riscurilor aferente funcțiilor</w:t>
      </w:r>
      <w:r w:rsidR="00B73132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sau 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activităților externalizate, prin reglementările sale interne și </w:t>
      </w:r>
      <w:r w:rsidR="00B60C25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cuprinde cel </w:t>
      </w:r>
      <w:r w:rsidR="00F734B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puțin</w:t>
      </w:r>
      <w:r w:rsidR="00B60C25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următoarele:</w:t>
      </w:r>
    </w:p>
    <w:p w14:paraId="6185E527" w14:textId="754A133F" w:rsidR="00593991" w:rsidRPr="006C713C" w:rsidRDefault="00D3336F" w:rsidP="00BF3A6F">
      <w:pPr>
        <w:pStyle w:val="al"/>
        <w:spacing w:before="0" w:beforeAutospacing="0" w:after="0" w:afterAutospacing="0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1) 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stabilirea </w:t>
      </w:r>
      <w:r w:rsidR="00F734B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responsabilităților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organelor de conducere, inclusiv implicarea </w:t>
      </w:r>
      <w:r w:rsidR="00BC701C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acestora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>, după caz:</w:t>
      </w:r>
    </w:p>
    <w:p w14:paraId="68B4FD28" w14:textId="49B8B2A5" w:rsidR="00593991" w:rsidRPr="006C713C" w:rsidRDefault="00BF3A6F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</w:rPr>
        <w:t>a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>)</w:t>
      </w:r>
      <w:r w:rsidR="009B01B4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B30CE2">
        <w:rPr>
          <w:rFonts w:ascii="PermianSlabSerifTypeface" w:hAnsi="PermianSlabSerifTypeface"/>
          <w:color w:val="000000" w:themeColor="text1"/>
          <w:sz w:val="22"/>
          <w:szCs w:val="22"/>
        </w:rPr>
        <w:t xml:space="preserve">în 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asigurarea evaluării furnizorului, </w:t>
      </w:r>
      <w:r w:rsidR="00593991" w:rsidRPr="00962E1F">
        <w:rPr>
          <w:rFonts w:ascii="PermianSlabSerifTypeface" w:hAnsi="PermianSlabSerifTypeface"/>
          <w:color w:val="000000" w:themeColor="text1"/>
          <w:sz w:val="22"/>
          <w:szCs w:val="22"/>
        </w:rPr>
        <w:t xml:space="preserve">cu </w:t>
      </w:r>
      <w:r w:rsidR="00F734BD" w:rsidRPr="00962E1F">
        <w:rPr>
          <w:rFonts w:ascii="PermianSlabSerifTypeface" w:hAnsi="PermianSlabSerifTypeface"/>
          <w:color w:val="000000" w:themeColor="text1"/>
          <w:sz w:val="22"/>
          <w:szCs w:val="22"/>
        </w:rPr>
        <w:t>excepția</w:t>
      </w:r>
      <w:r w:rsidR="00593991" w:rsidRPr="00962E1F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7D228E" w:rsidRPr="001564BD">
        <w:rPr>
          <w:rFonts w:ascii="PermianSlabSerifTypeface" w:hAnsi="PermianSlabSerifTypeface"/>
          <w:color w:val="000000" w:themeColor="text1"/>
          <w:sz w:val="22"/>
          <w:szCs w:val="22"/>
        </w:rPr>
        <w:t>unei societăți</w:t>
      </w:r>
      <w:r w:rsidR="00593991" w:rsidRPr="005372CA">
        <w:rPr>
          <w:rFonts w:ascii="PermianSlabSerifTypeface" w:hAnsi="PermianSlabSerifTypeface"/>
          <w:color w:val="000000" w:themeColor="text1"/>
          <w:sz w:val="22"/>
          <w:szCs w:val="22"/>
        </w:rPr>
        <w:t xml:space="preserve">, persoană juridică </w:t>
      </w:r>
      <w:r w:rsidR="000401EE" w:rsidRPr="005372CA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593991" w:rsidRPr="00962E1F">
        <w:rPr>
          <w:rFonts w:ascii="PermianSlabSerifTypeface" w:hAnsi="PermianSlabSerifTypeface"/>
          <w:color w:val="000000" w:themeColor="text1"/>
          <w:sz w:val="22"/>
          <w:szCs w:val="22"/>
        </w:rPr>
        <w:t xml:space="preserve">din Republica Moldova, şi </w:t>
      </w:r>
      <w:r w:rsidR="00F87312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 </w:t>
      </w:r>
      <w:r w:rsidR="00593991" w:rsidRPr="00962E1F">
        <w:rPr>
          <w:rFonts w:ascii="PermianSlabSerifTypeface" w:hAnsi="PermianSlabSerifTypeface"/>
          <w:color w:val="000000" w:themeColor="text1"/>
          <w:sz w:val="22"/>
          <w:szCs w:val="22"/>
        </w:rPr>
        <w:t xml:space="preserve">unei sucursale </w:t>
      </w:r>
      <w:r w:rsidR="00B145D0" w:rsidRPr="00962E1F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 </w:t>
      </w:r>
      <w:r w:rsidR="00593991" w:rsidRPr="00962E1F">
        <w:rPr>
          <w:rFonts w:ascii="PermianSlabSerifTypeface" w:hAnsi="PermianSlabSerifTypeface"/>
          <w:color w:val="000000" w:themeColor="text1"/>
          <w:sz w:val="22"/>
          <w:szCs w:val="22"/>
        </w:rPr>
        <w:t>societății din stat terț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>, la etapa precontractuală şi periodic pe parcursul etapei contractuale în baza reglementărilor interne;</w:t>
      </w:r>
    </w:p>
    <w:p w14:paraId="0260C845" w14:textId="61E24FB8" w:rsidR="00593991" w:rsidRPr="006C713C" w:rsidRDefault="00BF3A6F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</w:rPr>
        <w:t>b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>)</w:t>
      </w:r>
      <w:r w:rsidR="009B01B4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B30CE2">
        <w:rPr>
          <w:rFonts w:ascii="PermianSlabSerifTypeface" w:hAnsi="PermianSlabSerifTypeface"/>
          <w:color w:val="000000" w:themeColor="text1"/>
          <w:sz w:val="22"/>
          <w:szCs w:val="22"/>
        </w:rPr>
        <w:t xml:space="preserve">în 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monitorizarea şi evaluarea corespunzătoare a supravegherii zilnice a </w:t>
      </w:r>
      <w:r w:rsidR="00F344E8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activități</w:t>
      </w:r>
      <w:r w:rsidR="00AF43A5" w:rsidRPr="006C713C">
        <w:rPr>
          <w:rFonts w:ascii="PermianSlabSerifTypeface" w:hAnsi="PermianSlabSerifTypeface"/>
          <w:color w:val="000000" w:themeColor="text1"/>
          <w:sz w:val="22"/>
          <w:szCs w:val="22"/>
        </w:rPr>
        <w:t>i</w:t>
      </w:r>
      <w:r w:rsidR="00B30CE2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B1210C" w:rsidRPr="006C713C">
        <w:rPr>
          <w:rFonts w:ascii="PermianSlabSerifTypeface" w:hAnsi="PermianSlabSerifTypeface"/>
          <w:color w:val="000000" w:themeColor="text1"/>
          <w:sz w:val="22"/>
          <w:szCs w:val="22"/>
        </w:rPr>
        <w:t>societății</w:t>
      </w:r>
      <w:r w:rsidR="00B1210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B30CE2">
        <w:rPr>
          <w:rFonts w:ascii="PermianSlabSerifTypeface" w:hAnsi="PermianSlabSerifTypeface"/>
          <w:color w:val="000000" w:themeColor="text1"/>
          <w:sz w:val="22"/>
          <w:szCs w:val="22"/>
        </w:rPr>
        <w:t>supuse</w:t>
      </w:r>
      <w:r w:rsidR="00B1210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externalizări</w:t>
      </w:r>
      <w:r w:rsidR="00593991" w:rsidRPr="006C713C">
        <w:rPr>
          <w:rFonts w:ascii="PermianSlabSerifTypeface" w:hAnsi="PermianSlabSerifTypeface"/>
          <w:color w:val="000000" w:themeColor="text1"/>
          <w:sz w:val="22"/>
          <w:szCs w:val="22"/>
        </w:rPr>
        <w:t>, inclusiv gestionarea riscurilor asociate externalizării, a performanţei financiare, precum şi a structurii organizatorice/structurii proprietarilor furnizorului, astfel încât să poată fi luate cu promptitudine orice măsuri necesare;</w:t>
      </w:r>
    </w:p>
    <w:p w14:paraId="55EF9F49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2) implicarea liniilor de afaceri şi a funcţiilor de control intern în ceea ce priveşte </w:t>
      </w:r>
      <w:r w:rsidR="00410161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funcțiile și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activit</w:t>
      </w:r>
      <w:r w:rsidR="00410161" w:rsidRPr="006C713C">
        <w:rPr>
          <w:rFonts w:ascii="PermianSlabSerifTypeface" w:hAnsi="PermianSlabSerifTypeface"/>
          <w:color w:val="000000" w:themeColor="text1"/>
          <w:sz w:val="22"/>
          <w:szCs w:val="22"/>
        </w:rPr>
        <w:t>ățile externalizat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e;</w:t>
      </w:r>
    </w:p>
    <w:p w14:paraId="64BE9168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3) planificarea externalizării</w:t>
      </w:r>
      <w:r w:rsidR="00BC701C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funcțiilor sau activităţilor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, care include cel puţin următoarele:</w:t>
      </w:r>
    </w:p>
    <w:p w14:paraId="7DDD241C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a) luarea în considerare în mod explicit, la efectuarea analizei de risc înainte de externalizare, a efectelor potenţiale ale externalizării </w:t>
      </w:r>
      <w:r w:rsidR="00561DE9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funcțiilor și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activităţi</w:t>
      </w:r>
      <w:r w:rsidR="00561DE9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lor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asupra anumitor activităţi importante în cadrul </w:t>
      </w:r>
      <w:r w:rsidR="00561DE9" w:rsidRPr="006C713C">
        <w:rPr>
          <w:rFonts w:ascii="PermianSlabSerifTypeface" w:hAnsi="PermianSlabSerifTypeface"/>
          <w:color w:val="000000" w:themeColor="text1"/>
          <w:sz w:val="22"/>
          <w:szCs w:val="22"/>
        </w:rPr>
        <w:t>societății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;</w:t>
      </w:r>
    </w:p>
    <w:p w14:paraId="27BF4481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b) stabilirea termenelor, condiţiilor de realizare a </w:t>
      </w:r>
      <w:r w:rsidR="00561DE9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funcțiilor și activităţilor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externalizate şi a cerinţelor cu privire la </w:t>
      </w:r>
      <w:r w:rsidR="00561DE9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acestea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, inclusiv a cerinţelor de selectare a furnizorului, ţinând cont de faptul că acesta dispune de suficiente resurse, abilităţi, competenţe, standarde etice corespunzătoare sau de un cod de conduită, având în vedere şi calitatea </w:t>
      </w:r>
      <w:r w:rsidR="00561DE9" w:rsidRPr="006C713C">
        <w:rPr>
          <w:rFonts w:ascii="PermianSlabSerifTypeface" w:hAnsi="PermianSlabSerifTypeface"/>
          <w:color w:val="000000" w:themeColor="text1"/>
          <w:sz w:val="22"/>
          <w:szCs w:val="22"/>
        </w:rPr>
        <w:t>exercitării funcțiilor și desfăşurării activităţii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externalizate de către acesta;</w:t>
      </w:r>
    </w:p>
    <w:p w14:paraId="6FB3C5ED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c) criteriile şi procesele de identificare </w:t>
      </w:r>
      <w:r w:rsidR="005C7009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activităților externaliza</w:t>
      </w:r>
      <w:r w:rsidR="002242D7" w:rsidRPr="006C713C">
        <w:rPr>
          <w:rFonts w:ascii="PermianSlabSerifTypeface" w:hAnsi="PermianSlabSerifTypeface"/>
          <w:color w:val="000000" w:themeColor="text1"/>
          <w:sz w:val="22"/>
          <w:szCs w:val="22"/>
        </w:rPr>
        <w:t>t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e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;</w:t>
      </w:r>
    </w:p>
    <w:p w14:paraId="5EBD16B9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d) proceduri privind identificarea, evaluarea, monitorizarea şi gestionarea riscurilor asociate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funcțiilor și activităţilor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externalizate, inclusiv impactul asupra activităţii financiare şi continuităţii activităţii </w:t>
      </w:r>
      <w:r w:rsidR="00BC701C" w:rsidRPr="006C713C">
        <w:rPr>
          <w:rFonts w:ascii="PermianSlabSerifTypeface" w:hAnsi="PermianSlabSerifTypeface"/>
          <w:color w:val="000000" w:themeColor="text1"/>
          <w:sz w:val="22"/>
          <w:szCs w:val="22"/>
        </w:rPr>
        <w:t>societății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, a riscurilor cu care se poate confrunta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aceasta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595532">
        <w:rPr>
          <w:rFonts w:ascii="PermianSlabSerifTypeface" w:hAnsi="PermianSlabSerifTypeface"/>
          <w:color w:val="000000" w:themeColor="text1"/>
          <w:sz w:val="22"/>
          <w:szCs w:val="22"/>
        </w:rPr>
        <w:t xml:space="preserve">ca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urmare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externalizării, cost-beneficiul proiectului de externalizare, precum şi privind stabilirea metodelor ce urmează a fi utilizate pentru administrarea acestor riscuri, pe bază de proporţionalitate;</w:t>
      </w:r>
    </w:p>
    <w:p w14:paraId="171D9A57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e) proceduri pentru identificarea, evaluarea, gestionarea şi atenuarea potenţialelor conflicte de interese în cad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rul procesului de externalizare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;</w:t>
      </w:r>
    </w:p>
    <w:p w14:paraId="65B6BAFE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f) planificarea continuităţii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funcțiilor și activităţilor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externalizate;</w:t>
      </w:r>
    </w:p>
    <w:p w14:paraId="2E3095BD" w14:textId="77777777" w:rsidR="00F57C80" w:rsidRPr="006C713C" w:rsidRDefault="00F57C80" w:rsidP="00224894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g) procesul de aprobare a contractelor de externalizare;</w:t>
      </w:r>
    </w:p>
    <w:p w14:paraId="18ED49FB" w14:textId="77777777" w:rsidR="00F57C80" w:rsidRPr="006C713C" w:rsidRDefault="00C95168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4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>) stabilirea modului de implementare, monitorizare şi gestionar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e a procesului de externalizare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>, care va conţine cel puţin următoarele;</w:t>
      </w:r>
    </w:p>
    <w:p w14:paraId="623BDF40" w14:textId="6027EA20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a) evaluarea periodică a </w:t>
      </w:r>
      <w:r w:rsidR="00454539" w:rsidRPr="006C713C">
        <w:rPr>
          <w:rFonts w:ascii="PermianSlabSerifTypeface" w:hAnsi="PermianSlabSerifTypeface"/>
          <w:color w:val="000000" w:themeColor="text1"/>
          <w:sz w:val="22"/>
          <w:szCs w:val="22"/>
        </w:rPr>
        <w:t>reputației</w:t>
      </w:r>
      <w:r w:rsidR="00156D8B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de afacer</w:t>
      </w:r>
      <w:r w:rsidR="00875B84">
        <w:rPr>
          <w:rFonts w:ascii="PermianSlabSerifTypeface" w:hAnsi="PermianSlabSerifTypeface"/>
          <w:color w:val="000000" w:themeColor="text1"/>
          <w:sz w:val="22"/>
          <w:szCs w:val="22"/>
        </w:rPr>
        <w:t>i</w:t>
      </w:r>
      <w:r w:rsidR="00156D8B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a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 furnizorului, </w:t>
      </w:r>
      <w:r w:rsidRPr="00CB3705">
        <w:rPr>
          <w:rFonts w:ascii="PermianSlabSerifTypeface" w:hAnsi="PermianSlabSerifTypeface"/>
          <w:color w:val="000000" w:themeColor="text1"/>
          <w:sz w:val="22"/>
          <w:szCs w:val="22"/>
        </w:rPr>
        <w:t xml:space="preserve">cu </w:t>
      </w:r>
      <w:r w:rsidR="00454539" w:rsidRPr="00CB3705">
        <w:rPr>
          <w:rFonts w:ascii="PermianSlabSerifTypeface" w:hAnsi="PermianSlabSerifTypeface"/>
          <w:color w:val="000000" w:themeColor="text1"/>
          <w:sz w:val="22"/>
          <w:szCs w:val="22"/>
        </w:rPr>
        <w:t>excepția</w:t>
      </w:r>
      <w:r w:rsidRPr="00CB3705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286F1C" w:rsidRPr="00CB3705">
        <w:rPr>
          <w:rFonts w:ascii="PermianSlabSerifTypeface" w:hAnsi="PermianSlabSerifTypeface"/>
          <w:color w:val="000000" w:themeColor="text1"/>
          <w:sz w:val="22"/>
          <w:szCs w:val="22"/>
        </w:rPr>
        <w:t>unei societăți</w:t>
      </w:r>
      <w:r w:rsidR="00241064" w:rsidRPr="00CB3705">
        <w:rPr>
          <w:rFonts w:ascii="PermianSlabSerifTypeface" w:hAnsi="PermianSlabSerifTypeface"/>
          <w:color w:val="000000" w:themeColor="text1"/>
          <w:sz w:val="22"/>
          <w:szCs w:val="22"/>
        </w:rPr>
        <w:t xml:space="preserve">, persoană juridică din Republica Moldova, şi </w:t>
      </w:r>
      <w:r w:rsidR="00595532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 </w:t>
      </w:r>
      <w:r w:rsidR="00241064" w:rsidRPr="00CB3705">
        <w:rPr>
          <w:rFonts w:ascii="PermianSlabSerifTypeface" w:hAnsi="PermianSlabSerifTypeface"/>
          <w:color w:val="000000" w:themeColor="text1"/>
          <w:sz w:val="22"/>
          <w:szCs w:val="22"/>
        </w:rPr>
        <w:t xml:space="preserve">unei sucursale </w:t>
      </w:r>
      <w:r w:rsidR="00595532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 </w:t>
      </w:r>
      <w:r w:rsidR="00241064" w:rsidRPr="00CB3705">
        <w:rPr>
          <w:rFonts w:ascii="PermianSlabSerifTypeface" w:hAnsi="PermianSlabSerifTypeface"/>
          <w:color w:val="000000" w:themeColor="text1"/>
          <w:sz w:val="22"/>
          <w:szCs w:val="22"/>
        </w:rPr>
        <w:t>societății din stat terț</w:t>
      </w:r>
      <w:r w:rsidRPr="00CB3705">
        <w:rPr>
          <w:rFonts w:ascii="PermianSlabSerifTypeface" w:hAnsi="PermianSlabSerifTypeface"/>
          <w:color w:val="000000" w:themeColor="text1"/>
          <w:sz w:val="22"/>
          <w:szCs w:val="22"/>
        </w:rPr>
        <w:t>,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ţinând cont de prevederile pct.</w:t>
      </w:r>
      <w:r w:rsidR="002C1C0A">
        <w:rPr>
          <w:rFonts w:ascii="PermianSlabSerifTypeface" w:hAnsi="PermianSlabSerifTypeface"/>
          <w:color w:val="000000" w:themeColor="text1"/>
          <w:sz w:val="22"/>
          <w:szCs w:val="22"/>
        </w:rPr>
        <w:t>8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-</w:t>
      </w:r>
      <w:r w:rsidR="002C1C0A">
        <w:rPr>
          <w:rFonts w:ascii="PermianSlabSerifTypeface" w:hAnsi="PermianSlabSerifTypeface"/>
          <w:color w:val="000000" w:themeColor="text1"/>
          <w:sz w:val="22"/>
          <w:szCs w:val="22"/>
        </w:rPr>
        <w:t>11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;</w:t>
      </w:r>
    </w:p>
    <w:p w14:paraId="2DF07584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b) procedurile de notificare şi de răspuns la modificările din cadrul procesului de exte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rnalizare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sau în situaţia furnizorului ce ţin de poziţia sa financiară, structur</w:t>
      </w:r>
      <w:r w:rsidR="00A0621C">
        <w:rPr>
          <w:rFonts w:ascii="PermianSlabSerifTypeface" w:hAnsi="PermianSlabSerifTypeface"/>
          <w:color w:val="000000" w:themeColor="text1"/>
          <w:sz w:val="22"/>
          <w:szCs w:val="22"/>
        </w:rPr>
        <w:t>a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organizatoric</w:t>
      </w:r>
      <w:r w:rsidR="00A0621C">
        <w:rPr>
          <w:rFonts w:ascii="PermianSlabSerifTypeface" w:hAnsi="PermianSlabSerifTypeface"/>
          <w:color w:val="000000" w:themeColor="text1"/>
          <w:sz w:val="22"/>
          <w:szCs w:val="22"/>
        </w:rPr>
        <w:t>ă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sau de proprietate;</w:t>
      </w:r>
    </w:p>
    <w:p w14:paraId="7CD90591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c) revizuirea independentă a conformităţii cu cerinţele din reglementările sale interne;</w:t>
      </w:r>
    </w:p>
    <w:p w14:paraId="2CB789DB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d) procesele de ieşire şi de recuperare a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funcțiilor și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activităţilor externalizate;</w:t>
      </w:r>
    </w:p>
    <w:p w14:paraId="18306BE8" w14:textId="77777777" w:rsidR="00F57C80" w:rsidRPr="006C713C" w:rsidRDefault="00F57C80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e) monitorizarea oricărui indice care arată că furnizorul nu poate îndeplini eficient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funcțiile și activitățile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externalizat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e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în conformitate cu actele normative afere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nte procesului de externalizare;</w:t>
      </w:r>
    </w:p>
    <w:p w14:paraId="14A8527D" w14:textId="77777777" w:rsidR="00D80CAD" w:rsidRPr="006C713C" w:rsidRDefault="00C95168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lastRenderedPageBreak/>
        <w:t>5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) stabilirea modului de ajustare şi perfecţionare a mecanismului de control intern şi a funcţiei de audit intern, a sistemului de raportare internă, inclusiv raportarea către organul de conducere a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societății 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despre schimbările profilului de risc aferent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funcțiilor și activităților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externalizate, pentru a se asigura că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acestea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nu afectează capacitatea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societății 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>de a desfăşura o guvernanţă corporativă eficientă;</w:t>
      </w:r>
      <w:r w:rsidR="00D80CAD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</w:p>
    <w:p w14:paraId="18714986" w14:textId="77777777" w:rsidR="00D80CAD" w:rsidRPr="006C713C" w:rsidRDefault="00C95168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6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) stabilirea clară a responsabilităţilor în cadrul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societății 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>pentru monitorizarea şi administrarea cerinţelor expuse la subpct.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>4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>) din prezentul punct şi pentru documentarea, gestionarea şi contro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lul procesului de externalizare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. Documentarea va include în sine şi obligativitatea ţinerii unui registru actualizat privind toate contractele de externalizare la nivelul </w:t>
      </w:r>
      <w:r w:rsidR="00241064" w:rsidRPr="006C713C">
        <w:rPr>
          <w:rFonts w:ascii="PermianSlabSerifTypeface" w:hAnsi="PermianSlabSerifTypeface"/>
          <w:color w:val="000000" w:themeColor="text1"/>
          <w:sz w:val="22"/>
          <w:szCs w:val="22"/>
        </w:rPr>
        <w:t>societății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>;</w:t>
      </w:r>
    </w:p>
    <w:p w14:paraId="4D1E516D" w14:textId="6CC4C6EE" w:rsidR="001564BD" w:rsidRPr="006C713C" w:rsidRDefault="00DA197E" w:rsidP="00CB3705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</w:rPr>
        <w:t>7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) dispunerea, menţinerea şi testarea periodică, cel puţin o dată pe an, a planului de continuitate, a planurilor de ieşire şi de recuperare, ca rezultat al unor situaţii excepţionale identificate în baza analizei de risc, în cazul în care furnizorul preconizează să înceteze desfăşurarea </w:t>
      </w:r>
      <w:r w:rsidR="00520D13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funcțiilor și </w:t>
      </w:r>
      <w:r w:rsidR="00595532">
        <w:rPr>
          <w:rFonts w:ascii="PermianSlabSerifTypeface" w:hAnsi="PermianSlabSerifTypeface"/>
          <w:color w:val="000000" w:themeColor="text1"/>
          <w:sz w:val="22"/>
          <w:szCs w:val="22"/>
        </w:rPr>
        <w:t xml:space="preserve">a </w:t>
      </w:r>
      <w:r w:rsidR="00520D13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activităților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înainte de termenul enunţat în contractul de externalizare</w:t>
      </w:r>
      <w:r w:rsidR="00DC12D4">
        <w:rPr>
          <w:rFonts w:ascii="PermianSlabSerifTypeface" w:hAnsi="PermianSlabSerifTypeface"/>
          <w:color w:val="000000" w:themeColor="text1"/>
          <w:sz w:val="22"/>
          <w:szCs w:val="22"/>
        </w:rPr>
        <w:t xml:space="preserve">, în cazul </w:t>
      </w:r>
      <w:r w:rsidR="00DC12D4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riscului </w:t>
      </w:r>
      <w:r w:rsidR="001564B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de concentrare, inclusiv riscul de contractare a unui furnizor dominant sau care nu este uşor de substituit</w:t>
      </w:r>
      <w:r w:rsidR="00DC12D4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sau în cazul</w:t>
      </w:r>
      <w:r w:rsidR="001564B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riscul</w:t>
      </w:r>
      <w:r w:rsidR="00DC12D4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ui</w:t>
      </w:r>
      <w:r w:rsidR="001564B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agregat ce rezultă din externalizarea mai multor funcţii </w:t>
      </w:r>
      <w:r w:rsidR="001564BD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și activități </w:t>
      </w:r>
      <w:r w:rsidR="001564B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ale societății către acelaşi furnizor;</w:t>
      </w:r>
    </w:p>
    <w:p w14:paraId="1F26A1D5" w14:textId="64523698" w:rsidR="00F57C80" w:rsidRPr="006C713C" w:rsidRDefault="00DE446F" w:rsidP="00CB3705">
      <w:pPr>
        <w:pStyle w:val="al"/>
        <w:spacing w:before="0" w:beforeAutospacing="0" w:after="0" w:afterAutospacing="0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</w:rPr>
        <w:t xml:space="preserve">     8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>) stabilirea modului de întocmire şi prezentare a rapoartelor privind expunerea la riscuri asociate externalizării către organul de conducere abilitat prin</w:t>
      </w:r>
      <w:r w:rsidR="00E44811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lege sau</w:t>
      </w:r>
      <w:r w:rsidR="00F57C80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statut.</w:t>
      </w:r>
    </w:p>
    <w:p w14:paraId="281B3D0D" w14:textId="4EF996C7" w:rsidR="006C55ED" w:rsidRPr="006C713C" w:rsidRDefault="00AD4561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</w:rPr>
        <w:t>2</w:t>
      </w:r>
      <w:r w:rsidR="00C51F5F">
        <w:rPr>
          <w:rFonts w:ascii="PermianSlabSerifTypeface" w:hAnsi="PermianSlabSerifTypeface"/>
          <w:b/>
          <w:color w:val="000000" w:themeColor="text1"/>
          <w:sz w:val="22"/>
          <w:szCs w:val="22"/>
        </w:rPr>
        <w:t>8</w:t>
      </w:r>
      <w:r w:rsidR="00311F36" w:rsidRPr="006C713C">
        <w:rPr>
          <w:rFonts w:ascii="PermianSlabSerifTypeface" w:hAnsi="PermianSlabSerifTypeface"/>
          <w:b/>
          <w:color w:val="000000" w:themeColor="text1"/>
          <w:sz w:val="22"/>
          <w:szCs w:val="22"/>
        </w:rPr>
        <w:t>.</w:t>
      </w:r>
      <w:r w:rsidR="00311F36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Reglementările interne ale 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societăți</w:t>
      </w:r>
      <w:r w:rsidR="0056693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i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3F171B" w:rsidRPr="006C713C">
        <w:rPr>
          <w:rFonts w:ascii="PermianSlabSerifTypeface" w:hAnsi="PermianSlabSerifTypeface"/>
          <w:color w:val="000000" w:themeColor="text1"/>
          <w:sz w:val="22"/>
          <w:szCs w:val="22"/>
        </w:rPr>
        <w:t>trebuie să diferențieze cel puțin următoarele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:</w:t>
      </w:r>
    </w:p>
    <w:p w14:paraId="39EC5863" w14:textId="435132FD" w:rsidR="003F171B" w:rsidRPr="006C713C" w:rsidRDefault="00E674BD" w:rsidP="003F171B">
      <w:pPr>
        <w:ind w:firstLine="567"/>
        <w:jc w:val="both"/>
        <w:rPr>
          <w:rFonts w:ascii="PermianSlabSerifTypeface" w:hAnsi="PermianSlabSerifTypeface"/>
          <w:sz w:val="22"/>
          <w:szCs w:val="22"/>
        </w:rPr>
      </w:pPr>
      <w:r>
        <w:rPr>
          <w:rFonts w:ascii="PermianSlabSerifTypeface" w:hAnsi="PermianSlabSerifTypeface"/>
          <w:sz w:val="22"/>
          <w:szCs w:val="22"/>
        </w:rPr>
        <w:t>1</w:t>
      </w:r>
      <w:r w:rsidR="003F171B" w:rsidRPr="006C713C">
        <w:rPr>
          <w:rFonts w:ascii="PermianSlabSerifTypeface" w:hAnsi="PermianSlabSerifTypeface"/>
          <w:sz w:val="22"/>
          <w:szCs w:val="22"/>
        </w:rPr>
        <w:t>) furnizorii care deţin o licenţă sau autorizaţie şi cei care nu deţin;</w:t>
      </w:r>
    </w:p>
    <w:p w14:paraId="3B07A8B4" w14:textId="1D1DEAD4" w:rsidR="003F171B" w:rsidRPr="006C713C" w:rsidRDefault="00E674BD" w:rsidP="003F171B">
      <w:pPr>
        <w:ind w:firstLine="567"/>
        <w:jc w:val="both"/>
        <w:rPr>
          <w:rFonts w:ascii="PermianSlabSerifTypeface" w:hAnsi="PermianSlabSerifTypeface"/>
          <w:sz w:val="22"/>
          <w:szCs w:val="22"/>
        </w:rPr>
      </w:pPr>
      <w:r>
        <w:rPr>
          <w:rFonts w:ascii="PermianSlabSerifTypeface" w:hAnsi="PermianSlabSerifTypeface"/>
          <w:sz w:val="22"/>
          <w:szCs w:val="22"/>
        </w:rPr>
        <w:t>2</w:t>
      </w:r>
      <w:r w:rsidR="003F171B" w:rsidRPr="006C713C">
        <w:rPr>
          <w:rFonts w:ascii="PermianSlabSerifTypeface" w:hAnsi="PermianSlabSerifTypeface"/>
          <w:sz w:val="22"/>
          <w:szCs w:val="22"/>
        </w:rPr>
        <w:t>) externalizarea funcțiilor și activităţilor în cadrul unui grup şi în afara grupului; şi</w:t>
      </w:r>
    </w:p>
    <w:p w14:paraId="2FDFD9F5" w14:textId="1FC69578" w:rsidR="003F171B" w:rsidRPr="006C713C" w:rsidRDefault="00E674BD" w:rsidP="003F171B">
      <w:pPr>
        <w:ind w:firstLine="567"/>
        <w:jc w:val="both"/>
        <w:rPr>
          <w:rFonts w:ascii="PermianSlabSerifTypeface" w:hAnsi="PermianSlabSerifTypeface" w:cs="Arial"/>
          <w:sz w:val="22"/>
          <w:szCs w:val="22"/>
        </w:rPr>
      </w:pPr>
      <w:r>
        <w:rPr>
          <w:rFonts w:ascii="PermianSlabSerifTypeface" w:hAnsi="PermianSlabSerifTypeface"/>
          <w:sz w:val="22"/>
          <w:szCs w:val="22"/>
        </w:rPr>
        <w:t>3</w:t>
      </w:r>
      <w:r w:rsidR="003F171B" w:rsidRPr="006C713C">
        <w:rPr>
          <w:rFonts w:ascii="PermianSlabSerifTypeface" w:hAnsi="PermianSlabSerifTypeface"/>
          <w:sz w:val="22"/>
          <w:szCs w:val="22"/>
        </w:rPr>
        <w:t xml:space="preserve">) externalizarea funcțiilor și activităţilor către furnizorii din ţară şi din </w:t>
      </w:r>
      <w:r w:rsidR="004978C4">
        <w:rPr>
          <w:rFonts w:ascii="PermianSlabSerifTypeface" w:hAnsi="PermianSlabSerifTypeface"/>
          <w:sz w:val="22"/>
          <w:szCs w:val="22"/>
        </w:rPr>
        <w:t>stat terț</w:t>
      </w:r>
      <w:r w:rsidR="003F171B" w:rsidRPr="006C713C">
        <w:rPr>
          <w:rFonts w:ascii="PermianSlabSerifTypeface" w:hAnsi="PermianSlabSerifTypeface"/>
          <w:sz w:val="22"/>
          <w:szCs w:val="22"/>
        </w:rPr>
        <w:t>.</w:t>
      </w:r>
    </w:p>
    <w:p w14:paraId="39B95A4E" w14:textId="0A3C670F" w:rsidR="00190445" w:rsidRPr="006C713C" w:rsidRDefault="00C51F5F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</w:rPr>
        <w:t>29</w:t>
      </w:r>
      <w:r w:rsidR="00190445" w:rsidRPr="006C713C">
        <w:rPr>
          <w:rFonts w:ascii="PermianSlabSerifTypeface" w:hAnsi="PermianSlabSerifTypeface"/>
          <w:b/>
          <w:color w:val="000000" w:themeColor="text1"/>
          <w:sz w:val="22"/>
          <w:szCs w:val="22"/>
        </w:rPr>
        <w:t>.</w:t>
      </w:r>
      <w:r w:rsidR="00190445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Reglementările interne ale societății în domeniul externalizării determină etapele importante ale unei externalizări și anume:</w:t>
      </w:r>
    </w:p>
    <w:p w14:paraId="16CA350F" w14:textId="77777777" w:rsidR="00141966" w:rsidRPr="006C713C" w:rsidRDefault="00D3336F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1) 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</w:rPr>
        <w:t>etapa decizională, constând în decizia de a externaliza sau de a modifica un contract de externalizare;</w:t>
      </w:r>
    </w:p>
    <w:p w14:paraId="6662484E" w14:textId="7AF54264" w:rsidR="00BB07FC" w:rsidRPr="006C713C" w:rsidRDefault="00311F36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 xml:space="preserve">2) </w:t>
      </w:r>
      <w:r w:rsidR="006C55ED" w:rsidRPr="006C713C">
        <w:rPr>
          <w:rFonts w:ascii="PermianSlabSerifTypeface" w:hAnsi="PermianSlabSerifTypeface"/>
          <w:sz w:val="22"/>
          <w:szCs w:val="22"/>
        </w:rPr>
        <w:t xml:space="preserve">etapa precontractuală, constând în verificarea şi evaluarea furnizorului extern, în mod deosebit din perspectiva </w:t>
      </w:r>
      <w:r w:rsidR="00DE446F">
        <w:rPr>
          <w:rFonts w:ascii="PermianSlabSerifTypeface" w:hAnsi="PermianSlabSerifTypeface"/>
          <w:sz w:val="22"/>
          <w:szCs w:val="22"/>
        </w:rPr>
        <w:t xml:space="preserve">bunei </w:t>
      </w:r>
      <w:r w:rsidR="003C4FE9">
        <w:rPr>
          <w:rFonts w:ascii="PermianSlabSerifTypeface" w:hAnsi="PermianSlabSerifTypeface"/>
          <w:sz w:val="22"/>
          <w:szCs w:val="22"/>
        </w:rPr>
        <w:t xml:space="preserve">reputației </w:t>
      </w:r>
      <w:r w:rsidR="00DE446F">
        <w:rPr>
          <w:rFonts w:ascii="PermianSlabSerifTypeface" w:hAnsi="PermianSlabSerifTypeface"/>
          <w:sz w:val="22"/>
          <w:szCs w:val="22"/>
        </w:rPr>
        <w:t>de afaceri</w:t>
      </w:r>
      <w:r w:rsidR="003C4FE9">
        <w:rPr>
          <w:rFonts w:ascii="PermianSlabSerifTypeface" w:hAnsi="PermianSlabSerifTypeface"/>
          <w:sz w:val="22"/>
          <w:szCs w:val="22"/>
        </w:rPr>
        <w:t xml:space="preserve">, inclusiv a </w:t>
      </w:r>
      <w:r w:rsidR="006C55ED" w:rsidRPr="006C713C">
        <w:rPr>
          <w:rFonts w:ascii="PermianSlabSerifTypeface" w:hAnsi="PermianSlabSerifTypeface"/>
          <w:sz w:val="22"/>
          <w:szCs w:val="22"/>
        </w:rPr>
        <w:t xml:space="preserve">capacităţii acestuia de a presta serviciile cu respectarea cerinţelor cantitative şi calitative stabilite de societate, elaborarea proiectului de contract şi a </w:t>
      </w:r>
      <w:r w:rsidR="00BB07FC" w:rsidRPr="006C713C">
        <w:rPr>
          <w:rFonts w:ascii="PermianSlabSerifTypeface" w:hAnsi="PermianSlabSerifTypeface"/>
          <w:sz w:val="22"/>
          <w:szCs w:val="22"/>
        </w:rPr>
        <w:t>specificațiilor</w:t>
      </w:r>
      <w:r w:rsidR="006C55ED" w:rsidRPr="006C713C">
        <w:rPr>
          <w:rFonts w:ascii="PermianSlabSerifTypeface" w:hAnsi="PermianSlabSerifTypeface"/>
          <w:sz w:val="22"/>
          <w:szCs w:val="22"/>
        </w:rPr>
        <w:t xml:space="preserve"> referitoare la serviciile prestate;</w:t>
      </w:r>
    </w:p>
    <w:p w14:paraId="637CB997" w14:textId="77777777" w:rsidR="00EB2D55" w:rsidRPr="006C713C" w:rsidRDefault="00311F36" w:rsidP="00587F0F">
      <w:pPr>
        <w:ind w:firstLine="284"/>
        <w:jc w:val="both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 xml:space="preserve">3) </w:t>
      </w:r>
      <w:r w:rsidR="00EB2D55" w:rsidRPr="006C713C">
        <w:rPr>
          <w:rFonts w:ascii="PermianSlabSerifTypeface" w:hAnsi="PermianSlabSerifTypeface"/>
          <w:sz w:val="22"/>
          <w:szCs w:val="22"/>
        </w:rPr>
        <w:t>etapa contractuală, constând în:</w:t>
      </w:r>
    </w:p>
    <w:p w14:paraId="42E8CD37" w14:textId="77777777" w:rsidR="00EB2D55" w:rsidRPr="006C713C" w:rsidRDefault="00EB2D55" w:rsidP="00587F0F">
      <w:pPr>
        <w:ind w:firstLine="284"/>
        <w:jc w:val="both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 xml:space="preserve">a) implementarea, monitorizarea şi gestionarea unui contract de externalizare în cadrul căreia </w:t>
      </w:r>
      <w:r w:rsidR="00560769" w:rsidRPr="006C713C">
        <w:rPr>
          <w:rFonts w:ascii="PermianSlabSerifTypeface" w:hAnsi="PermianSlabSerifTypeface"/>
          <w:sz w:val="22"/>
          <w:szCs w:val="22"/>
        </w:rPr>
        <w:t>se</w:t>
      </w:r>
      <w:r w:rsidRPr="006C713C">
        <w:rPr>
          <w:rFonts w:ascii="PermianSlabSerifTypeface" w:hAnsi="PermianSlabSerifTypeface"/>
          <w:sz w:val="22"/>
          <w:szCs w:val="22"/>
        </w:rPr>
        <w:t xml:space="preserve"> </w:t>
      </w:r>
      <w:r w:rsidR="00560769" w:rsidRPr="006C713C">
        <w:rPr>
          <w:rFonts w:ascii="PermianSlabSerifTypeface" w:hAnsi="PermianSlabSerifTypeface"/>
          <w:sz w:val="22"/>
          <w:szCs w:val="22"/>
        </w:rPr>
        <w:t>include</w:t>
      </w:r>
      <w:r w:rsidRPr="006C713C">
        <w:rPr>
          <w:rFonts w:ascii="PermianSlabSerifTypeface" w:hAnsi="PermianSlabSerifTypeface"/>
          <w:sz w:val="22"/>
          <w:szCs w:val="22"/>
        </w:rPr>
        <w:t xml:space="preserve"> şi monitorizarea modificărilor în situaţia furnizorului, cum ar fi modificări importante la poziţia sa financiară, în structurile organizatorice sau de proprietate, în strategiile şi profitabilitatea operaţiunilor </w:t>
      </w:r>
      <w:r w:rsidR="006F70A5" w:rsidRPr="006C713C">
        <w:rPr>
          <w:rFonts w:ascii="PermianSlabSerifTypeface" w:hAnsi="PermianSlabSerifTypeface"/>
          <w:sz w:val="22"/>
          <w:szCs w:val="22"/>
        </w:rPr>
        <w:t>acestuia</w:t>
      </w:r>
      <w:r w:rsidRPr="006C713C">
        <w:rPr>
          <w:rFonts w:ascii="PermianSlabSerifTypeface" w:hAnsi="PermianSlabSerifTypeface"/>
          <w:sz w:val="22"/>
          <w:szCs w:val="22"/>
        </w:rPr>
        <w:t>;</w:t>
      </w:r>
    </w:p>
    <w:p w14:paraId="78159E61" w14:textId="7967771F" w:rsidR="00EB2D55" w:rsidRPr="006C713C" w:rsidRDefault="00EB2D55" w:rsidP="00587F0F">
      <w:pPr>
        <w:ind w:firstLine="284"/>
        <w:jc w:val="both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>b) evaluarea periodică, cel puţin o dată pe an, a furnizorului,  conform pct.</w:t>
      </w:r>
      <w:r w:rsidR="00BB3F65">
        <w:rPr>
          <w:rFonts w:ascii="PermianSlabSerifTypeface" w:hAnsi="PermianSlabSerifTypeface"/>
          <w:sz w:val="22"/>
          <w:szCs w:val="22"/>
        </w:rPr>
        <w:t>8</w:t>
      </w:r>
      <w:r w:rsidRPr="006C713C">
        <w:rPr>
          <w:rFonts w:ascii="PermianSlabSerifTypeface" w:hAnsi="PermianSlabSerifTypeface"/>
          <w:sz w:val="22"/>
          <w:szCs w:val="22"/>
        </w:rPr>
        <w:t>, pentru a evalua capacitatea acestuia de a-şi îndeplini în continuare obligaţiile aferente externalizării;</w:t>
      </w:r>
    </w:p>
    <w:p w14:paraId="7069E28D" w14:textId="77777777" w:rsidR="00EB2D55" w:rsidRPr="006C713C" w:rsidRDefault="00EB2D55" w:rsidP="00587F0F">
      <w:pPr>
        <w:ind w:firstLine="284"/>
        <w:jc w:val="both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>c) monitorizarea realizării contractului de externalizare de către funcţia de conformitate şi de audit intern;</w:t>
      </w:r>
    </w:p>
    <w:p w14:paraId="29252A0B" w14:textId="7C79D5C6" w:rsidR="00141966" w:rsidRPr="006C713C" w:rsidRDefault="00EB2D55" w:rsidP="00587F0F">
      <w:pPr>
        <w:ind w:firstLine="284"/>
        <w:jc w:val="both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 xml:space="preserve">d) stabilirea procesului de ieşire şi/sau de recuperare a </w:t>
      </w:r>
      <w:r w:rsidR="00450FAC">
        <w:rPr>
          <w:rFonts w:ascii="PermianSlabSerifTypeface" w:hAnsi="PermianSlabSerifTypeface"/>
          <w:sz w:val="22"/>
          <w:szCs w:val="22"/>
        </w:rPr>
        <w:t xml:space="preserve">funcțiilor sau </w:t>
      </w:r>
      <w:r w:rsidRPr="006C713C">
        <w:rPr>
          <w:rFonts w:ascii="PermianSlabSerifTypeface" w:hAnsi="PermianSlabSerifTypeface"/>
          <w:sz w:val="22"/>
          <w:szCs w:val="22"/>
        </w:rPr>
        <w:t>activităţilor</w:t>
      </w:r>
      <w:r w:rsidR="007441E7">
        <w:rPr>
          <w:rFonts w:ascii="PermianSlabSerifTypeface" w:hAnsi="PermianSlabSerifTypeface"/>
          <w:sz w:val="22"/>
          <w:szCs w:val="22"/>
        </w:rPr>
        <w:t xml:space="preserve"> </w:t>
      </w:r>
      <w:r w:rsidRPr="006C713C">
        <w:rPr>
          <w:rFonts w:ascii="PermianSlabSerifTypeface" w:hAnsi="PermianSlabSerifTypeface"/>
          <w:sz w:val="22"/>
          <w:szCs w:val="22"/>
        </w:rPr>
        <w:t>externalizate;</w:t>
      </w:r>
    </w:p>
    <w:p w14:paraId="11CAB45A" w14:textId="628F3CF4" w:rsidR="006C55ED" w:rsidRPr="006C713C" w:rsidRDefault="00311F36" w:rsidP="00587F0F">
      <w:pPr>
        <w:pStyle w:val="al"/>
        <w:spacing w:before="0" w:beforeAutospacing="0" w:after="0" w:afterAutospacing="0"/>
        <w:ind w:firstLine="284"/>
        <w:jc w:val="both"/>
        <w:rPr>
          <w:rFonts w:ascii="PermianSlabSerifTypeface" w:hAnsi="PermianSlabSerifTypeface"/>
          <w:sz w:val="22"/>
          <w:szCs w:val="22"/>
        </w:rPr>
      </w:pPr>
      <w:r w:rsidRPr="006C713C">
        <w:rPr>
          <w:rFonts w:ascii="PermianSlabSerifTypeface" w:hAnsi="PermianSlabSerifTypeface"/>
          <w:sz w:val="22"/>
          <w:szCs w:val="22"/>
        </w:rPr>
        <w:t xml:space="preserve">4) </w:t>
      </w:r>
      <w:r w:rsidR="00E44811" w:rsidRPr="00E44811">
        <w:rPr>
          <w:rFonts w:ascii="PermianSlabSerifTypeface" w:hAnsi="PermianSlabSerifTypeface"/>
          <w:sz w:val="22"/>
          <w:szCs w:val="22"/>
        </w:rPr>
        <w:t>etapa post-contractuală, constând în gestionarea situaţiilor de încetare a contractului şi de întrerupere a desfăşurării efectuării</w:t>
      </w:r>
      <w:r w:rsidR="00E44811">
        <w:rPr>
          <w:rFonts w:ascii="PermianSlabSerifTypeface" w:hAnsi="PermianSlabSerifTypeface"/>
          <w:sz w:val="22"/>
          <w:szCs w:val="22"/>
        </w:rPr>
        <w:t xml:space="preserve"> funcțiilor sau activităților</w:t>
      </w:r>
      <w:r w:rsidR="00E44811" w:rsidRPr="00E44811">
        <w:rPr>
          <w:rFonts w:ascii="PermianSlabSerifTypeface" w:hAnsi="PermianSlabSerifTypeface"/>
          <w:sz w:val="22"/>
          <w:szCs w:val="22"/>
        </w:rPr>
        <w:t xml:space="preserve"> externalizate de către furnizor, care include cel puţin stabilirea strategiilor de încetare şi întrerupere a desfăşurării </w:t>
      </w:r>
      <w:r w:rsidR="00BF2080">
        <w:rPr>
          <w:rFonts w:ascii="PermianSlabSerifTypeface" w:hAnsi="PermianSlabSerifTypeface"/>
          <w:sz w:val="22"/>
          <w:szCs w:val="22"/>
        </w:rPr>
        <w:t>funcției sau activității</w:t>
      </w:r>
      <w:r w:rsidR="00E44811" w:rsidRPr="00E44811">
        <w:rPr>
          <w:rFonts w:ascii="PermianSlabSerifTypeface" w:hAnsi="PermianSlabSerifTypeface"/>
          <w:sz w:val="22"/>
          <w:szCs w:val="22"/>
        </w:rPr>
        <w:t xml:space="preserve"> externalizate, cerinţa unui plan de ieşire şi/sau de recuperare documentat pentru fiecare </w:t>
      </w:r>
      <w:r w:rsidR="00BF2080">
        <w:rPr>
          <w:rFonts w:ascii="PermianSlabSerifTypeface" w:hAnsi="PermianSlabSerifTypeface"/>
          <w:sz w:val="22"/>
          <w:szCs w:val="22"/>
        </w:rPr>
        <w:t xml:space="preserve">funcție sau </w:t>
      </w:r>
      <w:r w:rsidR="00E44811" w:rsidRPr="00E44811">
        <w:rPr>
          <w:rFonts w:ascii="PermianSlabSerifTypeface" w:hAnsi="PermianSlabSerifTypeface"/>
          <w:sz w:val="22"/>
          <w:szCs w:val="22"/>
        </w:rPr>
        <w:t xml:space="preserve">activitate externalizată, în cazul în care o astfel de ieşire/recuperare este considerată posibilă luând în considerare eventualele întreruperi ale </w:t>
      </w:r>
      <w:r w:rsidR="00BF2080">
        <w:rPr>
          <w:rFonts w:ascii="PermianSlabSerifTypeface" w:hAnsi="PermianSlabSerifTypeface"/>
          <w:sz w:val="22"/>
          <w:szCs w:val="22"/>
        </w:rPr>
        <w:t>desfășurării funcției sau activității</w:t>
      </w:r>
      <w:r w:rsidR="00E44811" w:rsidRPr="00E44811">
        <w:rPr>
          <w:rFonts w:ascii="PermianSlabSerifTypeface" w:hAnsi="PermianSlabSerifTypeface"/>
          <w:sz w:val="22"/>
          <w:szCs w:val="22"/>
        </w:rPr>
        <w:t xml:space="preserve"> externalizate sau încetarea neaşteptată a unui contract de externalizare</w:t>
      </w:r>
      <w:r w:rsidR="006C55ED" w:rsidRPr="006C713C">
        <w:rPr>
          <w:rFonts w:ascii="PermianSlabSerifTypeface" w:hAnsi="PermianSlabSerifTypeface"/>
          <w:sz w:val="22"/>
          <w:szCs w:val="22"/>
        </w:rPr>
        <w:t>.</w:t>
      </w:r>
    </w:p>
    <w:p w14:paraId="287597B2" w14:textId="5B71A2A0" w:rsidR="006C55ED" w:rsidRPr="006C713C" w:rsidRDefault="00C51F5F" w:rsidP="00587F0F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</w:rPr>
        <w:lastRenderedPageBreak/>
        <w:t>30</w:t>
      </w:r>
      <w:r w:rsidR="00311F36" w:rsidRPr="006C713C">
        <w:rPr>
          <w:rFonts w:ascii="PermianSlabSerifTypeface" w:hAnsi="PermianSlabSerifTypeface"/>
          <w:b/>
          <w:color w:val="000000" w:themeColor="text1"/>
          <w:sz w:val="22"/>
          <w:szCs w:val="22"/>
        </w:rPr>
        <w:t>.</w:t>
      </w:r>
      <w:r w:rsidR="00311F36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1E2BFB" w:rsidRPr="006C713C">
        <w:rPr>
          <w:rFonts w:ascii="PermianSlabSerifTypeface" w:hAnsi="PermianSlabSerifTypeface"/>
          <w:color w:val="000000" w:themeColor="text1"/>
          <w:sz w:val="22"/>
          <w:szCs w:val="22"/>
        </w:rPr>
        <w:t>Auditul intern periodic evaluează actualitatea și caracterul adecvat al reglementărilor interne, inclusiv procesul de gestionare a riscurilor asociate externalizării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. </w:t>
      </w:r>
    </w:p>
    <w:p w14:paraId="42494794" w14:textId="71A358AF" w:rsidR="0088646E" w:rsidRPr="006C713C" w:rsidRDefault="008A45B2" w:rsidP="00587F0F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</w:rPr>
        <w:t>3</w:t>
      </w:r>
      <w:r w:rsidR="00C51F5F">
        <w:rPr>
          <w:rFonts w:ascii="PermianSlabSerifTypeface" w:hAnsi="PermianSlabSerifTypeface"/>
          <w:b/>
          <w:color w:val="000000" w:themeColor="text1"/>
          <w:sz w:val="22"/>
          <w:szCs w:val="22"/>
        </w:rPr>
        <w:t>1</w:t>
      </w:r>
      <w:r w:rsidR="0088646E" w:rsidRPr="006C713C">
        <w:rPr>
          <w:rFonts w:ascii="PermianSlabSerifTypeface" w:hAnsi="PermianSlabSerifTypeface"/>
          <w:b/>
          <w:color w:val="000000" w:themeColor="text1"/>
          <w:sz w:val="22"/>
          <w:szCs w:val="22"/>
        </w:rPr>
        <w:t>.</w:t>
      </w:r>
      <w:r w:rsidR="0088646E" w:rsidRPr="006C713C">
        <w:rPr>
          <w:rFonts w:ascii="PermianSlabSerifTypeface" w:hAnsi="PermianSlabSerifTypeface"/>
          <w:color w:val="000000" w:themeColor="text1"/>
          <w:sz w:val="22"/>
          <w:szCs w:val="22"/>
        </w:rPr>
        <w:t xml:space="preserve"> </w:t>
      </w:r>
      <w:r w:rsidR="0088646E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Societatea, în vederea asigurării unei abordări complexe şi eficiente a procesului de planificare şi asigurare a continuității activităților ce țin de administrarea riscurilor, </w:t>
      </w:r>
      <w:r w:rsidR="001E2BFB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în special riscul operațional și riscul de concentrare, </w:t>
      </w:r>
      <w:r w:rsidR="0088646E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asociate funcțiilor</w:t>
      </w:r>
      <w:r w:rsidR="00E766E4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88646E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și activităților externalizate:</w:t>
      </w:r>
    </w:p>
    <w:p w14:paraId="104BD049" w14:textId="77777777" w:rsidR="0088646E" w:rsidRPr="006C713C" w:rsidRDefault="0088646E" w:rsidP="00587F0F">
      <w:pPr>
        <w:pStyle w:val="ListParagraph"/>
        <w:numPr>
          <w:ilvl w:val="0"/>
          <w:numId w:val="42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asigură corespunderea politicilor privind administrarea riscurilor aferente acestor funcții și activități modelului de afaceri al societății;</w:t>
      </w:r>
    </w:p>
    <w:p w14:paraId="478239FD" w14:textId="46714112" w:rsidR="0088646E" w:rsidRPr="006C713C" w:rsidRDefault="00F0543C" w:rsidP="00F0543C">
      <w:pPr>
        <w:pStyle w:val="ListParagraph"/>
        <w:numPr>
          <w:ilvl w:val="0"/>
          <w:numId w:val="42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  <w:r w:rsidRPr="00F054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implementează și menține planuri şi proceduri de asigurare a continuității funcțiilor și activităților externalizate și de restabilire, ca rezultat al unor situații excepționale identificate în baza analizei de risc, respectiv, le testează periodic, cel puțin o dată pe an, în vederea asigurării corespunderii acestora politicilor şi procedurilor cu privire la externalizare</w:t>
      </w:r>
      <w:r w:rsidR="0088646E" w:rsidRPr="006C713C"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  <w:t>.</w:t>
      </w:r>
    </w:p>
    <w:p w14:paraId="69F784F6" w14:textId="7BF47BE9" w:rsidR="006C55ED" w:rsidRPr="006C713C" w:rsidRDefault="008A45B2" w:rsidP="00587F0F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3</w:t>
      </w:r>
      <w:r w:rsidR="00C51F5F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2</w:t>
      </w:r>
      <w:r w:rsidR="000904AA"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.</w:t>
      </w:r>
      <w:r w:rsidR="000904AA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În cazul externalizării funcțiilor </w:t>
      </w:r>
      <w:r w:rsidR="00614DC0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și activităților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către un furnizor din  stat</w:t>
      </w:r>
      <w:r w:rsidR="004978C4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terț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, societatea trebuie să se asigure că externalizarea funcției </w:t>
      </w:r>
      <w:r w:rsidR="00614DC0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și activității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respective, în măsura în care </w:t>
      </w:r>
      <w:r w:rsidR="00591218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desfășurarea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acesteia necesită </w:t>
      </w:r>
      <w:r w:rsidR="00591218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licențierea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/autorizarea/înregistrarea din partea unei </w:t>
      </w:r>
      <w:r w:rsidR="00591218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autorități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competente din statul de origine a furnizorului, se realizează de către un furnizor din stat</w:t>
      </w:r>
      <w:r w:rsidR="004978C4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terț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591218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licențiat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/autorizat/înregistrat să </w:t>
      </w:r>
      <w:r w:rsidR="00591218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desfășoare</w:t>
      </w:r>
      <w:r w:rsidR="006C55E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activitatea respectivă şi supravegheat de o autoritate relevantă din statul de origine.</w:t>
      </w:r>
      <w:r w:rsidR="00ED756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În cazul externalizării funcției actuariale către un furnizor din stat</w:t>
      </w:r>
      <w:r w:rsidR="004978C4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terț</w:t>
      </w:r>
      <w:r w:rsidR="00ED756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, </w:t>
      </w:r>
      <w:r w:rsidR="00A7040B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actuarul</w:t>
      </w:r>
      <w:r w:rsidR="00ED756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trebuie să dispună de certificat de calificare emis de </w:t>
      </w:r>
      <w:r w:rsidR="00935DCE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Banca Națională a Moldovei</w:t>
      </w:r>
      <w:r w:rsidR="00ED756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.</w:t>
      </w:r>
    </w:p>
    <w:p w14:paraId="57B4BA57" w14:textId="77777777" w:rsidR="004020E7" w:rsidRPr="006C713C" w:rsidRDefault="004020E7" w:rsidP="00805F2C">
      <w:pPr>
        <w:pStyle w:val="ListParagraph"/>
        <w:ind w:left="0"/>
        <w:jc w:val="both"/>
        <w:rPr>
          <w:rFonts w:ascii="PermianSlabSerifTypeface" w:hAnsi="PermianSlabSerifTypeface" w:cs="Times New Roman"/>
          <w:color w:val="000000" w:themeColor="text1"/>
          <w:sz w:val="22"/>
          <w:szCs w:val="22"/>
          <w:lang w:eastAsia="ro-MD"/>
        </w:rPr>
      </w:pPr>
    </w:p>
    <w:p w14:paraId="4B5D87CD" w14:textId="77777777" w:rsidR="00591218" w:rsidRPr="006C713C" w:rsidRDefault="00591218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  <w:t>Capitolul V</w:t>
      </w:r>
    </w:p>
    <w:p w14:paraId="5E2FA866" w14:textId="77777777" w:rsidR="00591218" w:rsidRPr="006C713C" w:rsidRDefault="00591218" w:rsidP="00805F2C">
      <w:pPr>
        <w:jc w:val="center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  <w:t>NOTIFICAREA ȘI RAPORTAREA EXTERNALIZĂRII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.</w:t>
      </w:r>
    </w:p>
    <w:p w14:paraId="655C4498" w14:textId="77777777" w:rsidR="00591218" w:rsidRPr="006C713C" w:rsidRDefault="00591218" w:rsidP="00805F2C">
      <w:pPr>
        <w:jc w:val="center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</w:p>
    <w:p w14:paraId="1FC05882" w14:textId="529E3E95" w:rsidR="00591218" w:rsidRPr="006C713C" w:rsidRDefault="00470372" w:rsidP="00587F0F">
      <w:pPr>
        <w:ind w:firstLine="284"/>
        <w:jc w:val="both"/>
        <w:rPr>
          <w:rFonts w:ascii="PermianSlabSerifTypeface" w:hAnsi="PermianSlabSerifTypeface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sz w:val="22"/>
          <w:szCs w:val="22"/>
          <w:lang w:eastAsia="ro-MD"/>
        </w:rPr>
        <w:t>3</w:t>
      </w:r>
      <w:r w:rsidR="00C51F5F">
        <w:rPr>
          <w:rFonts w:ascii="PermianSlabSerifTypeface" w:hAnsi="PermianSlabSerifTypeface"/>
          <w:b/>
          <w:sz w:val="22"/>
          <w:szCs w:val="22"/>
          <w:lang w:eastAsia="ro-MD"/>
        </w:rPr>
        <w:t>3</w:t>
      </w:r>
      <w:r w:rsidR="000C6ECB" w:rsidRPr="006C713C">
        <w:rPr>
          <w:rFonts w:ascii="PermianSlabSerifTypeface" w:hAnsi="PermianSlabSerifTypeface"/>
          <w:b/>
          <w:sz w:val="22"/>
          <w:szCs w:val="22"/>
          <w:lang w:eastAsia="ro-MD"/>
        </w:rPr>
        <w:t>.</w:t>
      </w:r>
      <w:r w:rsidR="000C6ECB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>În perioada externalizării funcțiilor</w:t>
      </w:r>
      <w:r w:rsidR="002214AA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0C6ECB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și ale activităților </w:t>
      </w:r>
      <w:r w:rsidR="008A679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societățile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notifică </w:t>
      </w:r>
      <w:r w:rsidR="0046490A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Banca Națională a Moldovei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în termen de 10 zile lucrătoare de la data constatării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cel puțin a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uneia din situațiile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>după cum urmează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>:</w:t>
      </w:r>
    </w:p>
    <w:p w14:paraId="31102C2C" w14:textId="77777777" w:rsidR="004020E7" w:rsidRPr="006C713C" w:rsidRDefault="00591218" w:rsidP="00587F0F">
      <w:pPr>
        <w:pStyle w:val="ListParagraph"/>
        <w:numPr>
          <w:ilvl w:val="0"/>
          <w:numId w:val="45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modificări intervenite în informațiile </w:t>
      </w:r>
      <w:r w:rsidR="00196D23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prezentate Băncii Naționale a Moldovei</w:t>
      </w:r>
      <w:r w:rsidR="0051127B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inclusiv modificări care au ca rezultat </w:t>
      </w:r>
      <w:r w:rsidR="008A6798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necorespunderea 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furnizorului </w:t>
      </w:r>
      <w:r w:rsidR="004020E7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condițiil</w:t>
      </w:r>
      <w:r w:rsidR="008A6798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or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stabilite în prezentul </w:t>
      </w:r>
      <w:r w:rsidR="00595532">
        <w:rPr>
          <w:rFonts w:ascii="PermianSlabSerifTypeface" w:hAnsi="PermianSlabSerifTypeface" w:cs="Times New Roman"/>
          <w:sz w:val="22"/>
          <w:szCs w:val="22"/>
          <w:lang w:eastAsia="ro-MD"/>
        </w:rPr>
        <w:t>r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egulament;</w:t>
      </w:r>
    </w:p>
    <w:p w14:paraId="547B6F9F" w14:textId="11E6EC91" w:rsidR="004020E7" w:rsidRPr="006C713C" w:rsidRDefault="00591218" w:rsidP="00587F0F">
      <w:pPr>
        <w:pStyle w:val="ListParagraph"/>
        <w:numPr>
          <w:ilvl w:val="0"/>
          <w:numId w:val="45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eventuala </w:t>
      </w:r>
      <w:r w:rsidR="00FB37BD">
        <w:rPr>
          <w:rFonts w:ascii="PermianSlabSerifTypeface" w:hAnsi="PermianSlabSerifTypeface" w:cs="Times New Roman"/>
          <w:sz w:val="22"/>
          <w:szCs w:val="22"/>
          <w:lang w:eastAsia="ro-MD"/>
        </w:rPr>
        <w:t>reintegrare</w:t>
      </w:r>
      <w:r w:rsidR="00FB37BD" w:rsidRPr="006C713C" w:rsidDel="008A6798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</w:t>
      </w:r>
      <w:r w:rsidR="008A6798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de către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</w:t>
      </w:r>
      <w:r w:rsidR="008A6798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societatea 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a </w:t>
      </w:r>
      <w:r w:rsidR="004020E7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funcțiilor </w:t>
      </w:r>
      <w:r w:rsidR="0051127B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și activităților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externalizate, cu prezentarea planului detaliat de </w:t>
      </w:r>
      <w:r w:rsidR="004020E7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acțiuni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</w:t>
      </w:r>
      <w:r w:rsidR="004020E7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și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a termenelor concrete</w:t>
      </w:r>
      <w:r w:rsidR="00843657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de realizare a acestora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;</w:t>
      </w:r>
    </w:p>
    <w:p w14:paraId="1E760639" w14:textId="500DD6EA" w:rsidR="00165168" w:rsidRPr="006C713C" w:rsidRDefault="00165168" w:rsidP="00587F0F">
      <w:pPr>
        <w:pStyle w:val="ListParagraph"/>
        <w:numPr>
          <w:ilvl w:val="0"/>
          <w:numId w:val="45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rezultatul evaluării efectuate conform pct.</w:t>
      </w:r>
      <w:r w:rsidR="00C51F5F">
        <w:rPr>
          <w:rFonts w:ascii="PermianSlabSerifTypeface" w:hAnsi="PermianSlabSerifTypeface" w:cs="Times New Roman"/>
          <w:sz w:val="22"/>
          <w:szCs w:val="22"/>
          <w:lang w:eastAsia="ro-MD"/>
        </w:rPr>
        <w:t>29</w:t>
      </w:r>
      <w:r w:rsidR="00470372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subpct.3)</w:t>
      </w:r>
      <w:r w:rsidR="00EB2D55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lit. b)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, în baza căruia societatea concluzionează că furnizorul nu mai este adecvat pentru a desfăşura funcțiile și activitățile externalizate şi/sau nu mai respectă cerinţele prezentului Regulament şi/sau ale reglementărilor interne ale societății.</w:t>
      </w:r>
    </w:p>
    <w:p w14:paraId="30D97BEB" w14:textId="77777777" w:rsidR="00591218" w:rsidRPr="006C713C" w:rsidRDefault="00591218" w:rsidP="00587F0F">
      <w:pPr>
        <w:pStyle w:val="ListParagraph"/>
        <w:numPr>
          <w:ilvl w:val="0"/>
          <w:numId w:val="45"/>
        </w:numPr>
        <w:tabs>
          <w:tab w:val="left" w:pos="284"/>
        </w:tabs>
        <w:ind w:left="0" w:firstLine="284"/>
        <w:jc w:val="both"/>
        <w:rPr>
          <w:rFonts w:ascii="PermianSlabSerifTypeface" w:hAnsi="PermianSlabSerifTypeface" w:cs="Times New Roman"/>
          <w:sz w:val="22"/>
          <w:szCs w:val="22"/>
          <w:lang w:eastAsia="ro-MD"/>
        </w:rPr>
      </w:pP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orice </w:t>
      </w:r>
      <w:r w:rsidR="004020E7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evoluții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semnificative care ar putea afecta activitatea furnizorului şi/sau capacitatea acestuia de a-şi îndeplini </w:t>
      </w:r>
      <w:r w:rsidR="004020E7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obligațiile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, eventualele măsuri adoptate de </w:t>
      </w:r>
      <w:r w:rsidR="008B305B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societatea 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în aceste cazuri, inclusiv schimbarea furnizorului, modificări în </w:t>
      </w:r>
      <w:r w:rsidR="00203ACF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clauzele de </w:t>
      </w:r>
      <w:r w:rsidR="004020E7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rezoluțiune</w:t>
      </w:r>
      <w:r w:rsidR="00203ACF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</w:t>
      </w:r>
      <w:r w:rsidR="004020E7"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>a</w:t>
      </w:r>
      <w:r w:rsidRPr="006C713C">
        <w:rPr>
          <w:rFonts w:ascii="PermianSlabSerifTypeface" w:hAnsi="PermianSlabSerifTypeface" w:cs="Times New Roman"/>
          <w:sz w:val="22"/>
          <w:szCs w:val="22"/>
          <w:lang w:eastAsia="ro-MD"/>
        </w:rPr>
        <w:t xml:space="preserve"> contractului de externalizare.</w:t>
      </w:r>
    </w:p>
    <w:p w14:paraId="2273BD97" w14:textId="77562544" w:rsidR="00591218" w:rsidRPr="006C713C" w:rsidRDefault="00470372" w:rsidP="00587F0F">
      <w:pPr>
        <w:ind w:firstLine="284"/>
        <w:jc w:val="both"/>
        <w:rPr>
          <w:rFonts w:ascii="PermianSlabSerifTypeface" w:hAnsi="PermianSlabSerifTypeface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sz w:val="22"/>
          <w:szCs w:val="22"/>
          <w:lang w:eastAsia="ro-MD"/>
        </w:rPr>
        <w:t>3</w:t>
      </w:r>
      <w:r w:rsidR="00C51F5F">
        <w:rPr>
          <w:rFonts w:ascii="PermianSlabSerifTypeface" w:hAnsi="PermianSlabSerifTypeface"/>
          <w:b/>
          <w:sz w:val="22"/>
          <w:szCs w:val="22"/>
          <w:lang w:eastAsia="ro-MD"/>
        </w:rPr>
        <w:t>4</w:t>
      </w:r>
      <w:r w:rsidR="00251E96" w:rsidRPr="006C713C">
        <w:rPr>
          <w:rFonts w:ascii="PermianSlabSerifTypeface" w:hAnsi="PermianSlabSerifTypeface"/>
          <w:b/>
          <w:sz w:val="22"/>
          <w:szCs w:val="22"/>
          <w:lang w:eastAsia="ro-MD"/>
        </w:rPr>
        <w:t>.</w:t>
      </w:r>
      <w:r w:rsidR="00251E96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>În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termen de 10 zile lucrătoare după externalizarea unei</w:t>
      </w:r>
      <w:r w:rsidR="0051127B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funcții </w:t>
      </w:r>
      <w:r w:rsidR="008A6798" w:rsidRPr="006C713C">
        <w:rPr>
          <w:rFonts w:ascii="PermianSlabSerifTypeface" w:hAnsi="PermianSlabSerifTypeface"/>
          <w:sz w:val="22"/>
          <w:szCs w:val="22"/>
          <w:lang w:eastAsia="ro-MD"/>
        </w:rPr>
        <w:t>sau activități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>, societatea</w:t>
      </w:r>
      <w:r w:rsidR="004041B4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notifică </w:t>
      </w:r>
      <w:r w:rsidR="0046490A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Banca Națională a Moldovei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>despre acest fapt, anexând copia contractului de externalizare.</w:t>
      </w:r>
      <w:r w:rsidR="00263D42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</w:p>
    <w:p w14:paraId="4D3D0DD1" w14:textId="46306081" w:rsidR="00591218" w:rsidRPr="006C713C" w:rsidRDefault="00470372" w:rsidP="00587F0F">
      <w:pPr>
        <w:ind w:firstLine="284"/>
        <w:jc w:val="both"/>
        <w:rPr>
          <w:rFonts w:ascii="PermianSlabSerifTypeface" w:hAnsi="PermianSlabSerifTypeface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sz w:val="22"/>
          <w:szCs w:val="22"/>
          <w:lang w:eastAsia="ro-MD"/>
        </w:rPr>
        <w:t>3</w:t>
      </w:r>
      <w:r w:rsidR="00C51F5F">
        <w:rPr>
          <w:rFonts w:ascii="PermianSlabSerifTypeface" w:hAnsi="PermianSlabSerifTypeface"/>
          <w:b/>
          <w:sz w:val="22"/>
          <w:szCs w:val="22"/>
          <w:lang w:eastAsia="ro-MD"/>
        </w:rPr>
        <w:t>5</w:t>
      </w:r>
      <w:r w:rsidR="00C8549D" w:rsidRPr="006C713C">
        <w:rPr>
          <w:rFonts w:ascii="PermianSlabSerifTypeface" w:hAnsi="PermianSlabSerifTypeface"/>
          <w:b/>
          <w:sz w:val="22"/>
          <w:szCs w:val="22"/>
          <w:lang w:eastAsia="ro-MD"/>
        </w:rPr>
        <w:t>.</w:t>
      </w:r>
      <w:r w:rsidR="00C8549D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5243BA" w:rsidRPr="006C713C">
        <w:rPr>
          <w:rFonts w:ascii="PermianSlabSerifTypeface" w:hAnsi="PermianSlabSerifTypeface"/>
          <w:sz w:val="22"/>
          <w:szCs w:val="22"/>
          <w:lang w:eastAsia="ro-MD"/>
        </w:rPr>
        <w:t>Societ</w:t>
      </w:r>
      <w:r w:rsidR="005243BA">
        <w:rPr>
          <w:rFonts w:ascii="PermianSlabSerifTypeface" w:hAnsi="PermianSlabSerifTypeface"/>
          <w:sz w:val="22"/>
          <w:szCs w:val="22"/>
          <w:lang w:eastAsia="ro-MD"/>
        </w:rPr>
        <w:t>atea</w:t>
      </w:r>
      <w:r w:rsidR="005243BA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2934FC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prezintă </w:t>
      </w:r>
      <w:r w:rsidR="00E55C0D">
        <w:rPr>
          <w:rFonts w:ascii="PermianSlabSerifTypeface" w:hAnsi="PermianSlabSerifTypeface"/>
          <w:sz w:val="22"/>
          <w:szCs w:val="22"/>
          <w:lang w:eastAsia="ro-MD"/>
        </w:rPr>
        <w:t>Băncii Naționale a Moldovei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2934FC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Raportul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privind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funcțiile </w:t>
      </w:r>
      <w:r w:rsidR="0051127B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și activitățile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externalizate în </w:t>
      </w:r>
      <w:r w:rsidR="002934FC" w:rsidRPr="006C713C">
        <w:rPr>
          <w:rFonts w:ascii="PermianSlabSerifTypeface" w:hAnsi="PermianSlabSerifTypeface"/>
          <w:sz w:val="22"/>
          <w:szCs w:val="22"/>
          <w:lang w:val="ro-MD" w:eastAsia="ro-MD"/>
        </w:rPr>
        <w:t xml:space="preserve">forma și în modul stabilite în anexa la prezentul </w:t>
      </w:r>
      <w:r w:rsidR="00595532">
        <w:rPr>
          <w:rFonts w:ascii="PermianSlabSerifTypeface" w:hAnsi="PermianSlabSerifTypeface"/>
          <w:sz w:val="22"/>
          <w:szCs w:val="22"/>
          <w:lang w:val="ro-MD" w:eastAsia="ro-MD"/>
        </w:rPr>
        <w:t>r</w:t>
      </w:r>
      <w:r w:rsidR="002934FC" w:rsidRPr="006C713C">
        <w:rPr>
          <w:rFonts w:ascii="PermianSlabSerifTypeface" w:hAnsi="PermianSlabSerifTypeface"/>
          <w:sz w:val="22"/>
          <w:szCs w:val="22"/>
          <w:lang w:val="ro-MD" w:eastAsia="ro-MD"/>
        </w:rPr>
        <w:t>egulament, semestrial, până la data de 25 iulie și, respectiv, 25 ianuarie a anului următor celui de gestiune, în formă electronică</w:t>
      </w:r>
      <w:r w:rsidR="000B5F2A" w:rsidRPr="006C713C">
        <w:rPr>
          <w:rFonts w:ascii="PermianSlabSerifTypeface" w:hAnsi="PermianSlabSerifTypeface"/>
          <w:sz w:val="22"/>
          <w:szCs w:val="22"/>
          <w:lang w:val="ro-MD" w:eastAsia="ro-MD"/>
        </w:rPr>
        <w:t>.</w:t>
      </w:r>
      <w:r w:rsidR="002934FC" w:rsidRPr="006C713C">
        <w:rPr>
          <w:rFonts w:ascii="PermianSlabSerifTypeface" w:hAnsi="PermianSlabSerifTypeface"/>
          <w:sz w:val="22"/>
          <w:szCs w:val="22"/>
          <w:lang w:val="ro-MD" w:eastAsia="ro-MD"/>
        </w:rPr>
        <w:t xml:space="preserve"> </w:t>
      </w:r>
    </w:p>
    <w:p w14:paraId="3A47DB1A" w14:textId="2E309347" w:rsidR="00591218" w:rsidRPr="006C713C" w:rsidRDefault="00470372" w:rsidP="00587F0F">
      <w:pPr>
        <w:ind w:firstLine="284"/>
        <w:jc w:val="both"/>
        <w:rPr>
          <w:rFonts w:ascii="PermianSlabSerifTypeface" w:hAnsi="PermianSlabSerifTypeface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sz w:val="22"/>
          <w:szCs w:val="22"/>
          <w:lang w:eastAsia="ro-MD"/>
        </w:rPr>
        <w:t>3</w:t>
      </w:r>
      <w:r w:rsidR="00C51F5F">
        <w:rPr>
          <w:rFonts w:ascii="PermianSlabSerifTypeface" w:hAnsi="PermianSlabSerifTypeface"/>
          <w:b/>
          <w:sz w:val="22"/>
          <w:szCs w:val="22"/>
          <w:lang w:eastAsia="ro-MD"/>
        </w:rPr>
        <w:t>6</w:t>
      </w:r>
      <w:r w:rsidR="003B4C81" w:rsidRPr="006C713C">
        <w:rPr>
          <w:rFonts w:ascii="PermianSlabSerifTypeface" w:hAnsi="PermianSlabSerifTypeface"/>
          <w:b/>
          <w:sz w:val="22"/>
          <w:szCs w:val="22"/>
          <w:lang w:eastAsia="ro-MD"/>
        </w:rPr>
        <w:t>.</w:t>
      </w:r>
      <w:r w:rsidR="003B4C81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5243BA" w:rsidRPr="006C713C">
        <w:rPr>
          <w:rFonts w:ascii="PermianSlabSerifTypeface" w:hAnsi="PermianSlabSerifTypeface"/>
          <w:sz w:val="22"/>
          <w:szCs w:val="22"/>
          <w:lang w:eastAsia="ro-MD"/>
        </w:rPr>
        <w:t>Societ</w:t>
      </w:r>
      <w:r w:rsidR="005243BA">
        <w:rPr>
          <w:rFonts w:ascii="PermianSlabSerifTypeface" w:hAnsi="PermianSlabSerifTypeface"/>
          <w:sz w:val="22"/>
          <w:szCs w:val="22"/>
          <w:lang w:eastAsia="ro-MD"/>
        </w:rPr>
        <w:t xml:space="preserve">atea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notifică </w:t>
      </w:r>
      <w:r w:rsidR="0046490A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Banca Națională a Moldovei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despre orice incident,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>evoluție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semnificativă înregistrată la nivelul riscurilor asociate </w:t>
      </w:r>
      <w:r w:rsidR="0051127B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activităților și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>funcțiilor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externalizate, care reprezintă o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>situație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sau efect din perspectiva administrării riscurilor aferente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>activității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lastRenderedPageBreak/>
        <w:t xml:space="preserve">societății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ce ar putea conduce la întreruperea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>funcției</w:t>
      </w:r>
      <w:r w:rsidR="0051127B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3B4C81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și </w:t>
      </w:r>
      <w:r w:rsidR="0051127B" w:rsidRPr="006C713C">
        <w:rPr>
          <w:rFonts w:ascii="PermianSlabSerifTypeface" w:hAnsi="PermianSlabSerifTypeface"/>
          <w:sz w:val="22"/>
          <w:szCs w:val="22"/>
          <w:lang w:eastAsia="ro-MD"/>
        </w:rPr>
        <w:t>activității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externalizate şi la incapacitatea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societății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de a se conforma </w:t>
      </w:r>
      <w:r w:rsidR="004020E7" w:rsidRPr="006C713C">
        <w:rPr>
          <w:rFonts w:ascii="PermianSlabSerifTypeface" w:hAnsi="PermianSlabSerifTypeface"/>
          <w:sz w:val="22"/>
          <w:szCs w:val="22"/>
          <w:lang w:eastAsia="ro-MD"/>
        </w:rPr>
        <w:t>actelor normative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 xml:space="preserve"> de domeniu în termen de cel mult 5 zile lucrătoare de la </w:t>
      </w:r>
      <w:r w:rsidR="004E1822">
        <w:rPr>
          <w:rFonts w:ascii="PermianSlabSerifTypeface" w:hAnsi="PermianSlabSerifTypeface"/>
          <w:sz w:val="22"/>
          <w:szCs w:val="22"/>
          <w:lang w:eastAsia="ro-MD"/>
        </w:rPr>
        <w:t xml:space="preserve">depistarea </w:t>
      </w:r>
      <w:r w:rsidR="00591218" w:rsidRPr="006C713C">
        <w:rPr>
          <w:rFonts w:ascii="PermianSlabSerifTypeface" w:hAnsi="PermianSlabSerifTypeface"/>
          <w:sz w:val="22"/>
          <w:szCs w:val="22"/>
          <w:lang w:eastAsia="ro-MD"/>
        </w:rPr>
        <w:t>incidentului.</w:t>
      </w:r>
    </w:p>
    <w:p w14:paraId="71AD358E" w14:textId="77777777" w:rsidR="00EE737E" w:rsidRPr="006C713C" w:rsidRDefault="00EE737E" w:rsidP="00805F2C">
      <w:pPr>
        <w:jc w:val="center"/>
        <w:rPr>
          <w:rFonts w:ascii="PermianSlabSerifTypeface" w:hAnsi="PermianSlabSerifTypeface"/>
          <w:b/>
          <w:bCs/>
          <w:color w:val="000000" w:themeColor="text1"/>
          <w:sz w:val="22"/>
          <w:szCs w:val="22"/>
          <w:lang w:eastAsia="ro-MD"/>
        </w:rPr>
      </w:pPr>
    </w:p>
    <w:p w14:paraId="1CEC82DF" w14:textId="77777777" w:rsidR="00296F31" w:rsidRPr="006C713C" w:rsidRDefault="00296F31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</w:p>
    <w:p w14:paraId="38656946" w14:textId="77777777" w:rsidR="00296F31" w:rsidRPr="006C713C" w:rsidRDefault="00296F31" w:rsidP="00805F2C">
      <w:pPr>
        <w:jc w:val="center"/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Capitolul VI</w:t>
      </w:r>
    </w:p>
    <w:p w14:paraId="2584681D" w14:textId="77777777" w:rsidR="00296F31" w:rsidRPr="006C713C" w:rsidRDefault="00296F31" w:rsidP="00805F2C">
      <w:pPr>
        <w:jc w:val="center"/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EXTERNALIZAREA TEHNOLOGIEI INFORMAŢIEI ŞI COMUNICAŢIILOR</w:t>
      </w:r>
    </w:p>
    <w:p w14:paraId="639AF786" w14:textId="77777777" w:rsidR="00296F31" w:rsidRPr="006C713C" w:rsidRDefault="00296F31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</w:p>
    <w:p w14:paraId="4B16CB76" w14:textId="77777777" w:rsidR="00296F31" w:rsidRPr="006C713C" w:rsidRDefault="00296F31" w:rsidP="00805F2C">
      <w:pPr>
        <w:jc w:val="center"/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Secţiunea 1</w:t>
      </w:r>
    </w:p>
    <w:p w14:paraId="44884A67" w14:textId="77777777" w:rsidR="00296F31" w:rsidRPr="006C713C" w:rsidRDefault="00296F31" w:rsidP="00805F2C">
      <w:pPr>
        <w:jc w:val="center"/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Dispoziţii generale</w:t>
      </w:r>
    </w:p>
    <w:p w14:paraId="3B9B37C5" w14:textId="6D757081" w:rsidR="00296F31" w:rsidRPr="006C713C" w:rsidRDefault="00470372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3</w:t>
      </w:r>
      <w:r w:rsidR="00C51F5F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7</w:t>
      </w:r>
      <w:r w:rsidR="00AF2511"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.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Prezentul capitol se aplică </w:t>
      </w:r>
      <w:r w:rsidR="005243BA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</w:t>
      </w:r>
      <w:r w:rsidR="005243BA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ății</w:t>
      </w:r>
      <w:r w:rsidR="005243BA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care intenţionează să externalizeze </w:t>
      </w:r>
      <w:r w:rsidR="00690904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tehnologia informaţiei </w:t>
      </w:r>
      <w:r w:rsidR="0049591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şi comunicaţiilor (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TIC</w:t>
      </w:r>
      <w:r w:rsidR="0049591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)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.</w:t>
      </w:r>
    </w:p>
    <w:p w14:paraId="4CB75F0D" w14:textId="5E5456F0" w:rsidR="00296F31" w:rsidRPr="006C713C" w:rsidRDefault="00470372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3</w:t>
      </w:r>
      <w:r w:rsidR="00C51F5F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8</w:t>
      </w:r>
      <w:r w:rsidR="00296F31"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.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În cazul externalizării TIC</w:t>
      </w:r>
      <w:r w:rsidR="00B92E86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49591D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societatea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, urmează să obţină aprobarea prealabilă a </w:t>
      </w:r>
      <w:r w:rsidR="00E55C0D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Băncii Naționale a Moldovei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în conformitate cu cerinţele prevăzute la </w:t>
      </w:r>
      <w:r w:rsidR="00A52F90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Capitolul III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 în m</w:t>
      </w:r>
      <w:r w:rsidR="003C15DE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odul corespunzător, şi la pct.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4</w:t>
      </w:r>
      <w:r w:rsidR="00C51F5F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0</w:t>
      </w:r>
      <w:r w:rsidR="00F5038E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-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4</w:t>
      </w:r>
      <w:r w:rsidR="00C51F5F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2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 după caz.</w:t>
      </w:r>
    </w:p>
    <w:p w14:paraId="31C65170" w14:textId="1A3EE4FB" w:rsidR="00296F31" w:rsidRPr="006C713C" w:rsidRDefault="00C51F5F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39</w:t>
      </w:r>
      <w:r w:rsidR="00A87DBE"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.</w:t>
      </w:r>
      <w:r w:rsidR="00A87DBE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Notificarea și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raportarea la externalizarea TIC se va e</w:t>
      </w:r>
      <w:r w:rsidR="00A87DBE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fectua conform prevederilor Capitolului V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 în modul corespunzător.</w:t>
      </w:r>
    </w:p>
    <w:p w14:paraId="202EF5C1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</w:p>
    <w:p w14:paraId="4496AC34" w14:textId="77777777" w:rsidR="00296F31" w:rsidRPr="006C713C" w:rsidRDefault="00296F31" w:rsidP="001B3D44">
      <w:pPr>
        <w:ind w:firstLine="284"/>
        <w:jc w:val="center"/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Secţiunea 2</w:t>
      </w:r>
    </w:p>
    <w:p w14:paraId="63591E7B" w14:textId="77777777" w:rsidR="00A52F90" w:rsidRPr="006C713C" w:rsidRDefault="00296F31" w:rsidP="001B3D44">
      <w:pPr>
        <w:ind w:firstLine="284"/>
        <w:jc w:val="center"/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Contractul de externalizare TIC şi administrarea riscurilor asociate externalizării TIC</w:t>
      </w:r>
    </w:p>
    <w:p w14:paraId="6CF33B7C" w14:textId="03847A53" w:rsidR="00296F31" w:rsidRPr="006C713C" w:rsidRDefault="00470372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4</w:t>
      </w:r>
      <w:r w:rsidR="00C51F5F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0</w:t>
      </w:r>
      <w:r w:rsidR="00296F31"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.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În cazul externalizării TIC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societatea 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întocmeşte proiectul contractului de externalizare TIC cu furnizorul în conformitate cu prevederile </w:t>
      </w:r>
      <w:r w:rsidR="00363DD5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pct. </w:t>
      </w:r>
      <w:r w:rsidR="003706FB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1</w:t>
      </w:r>
      <w:r w:rsidR="00C51F5F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2</w:t>
      </w:r>
      <w:r w:rsidR="00363DD5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- 1</w:t>
      </w:r>
      <w:r w:rsidR="00C51F5F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4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 şi respectiv va include cel puţin:</w:t>
      </w:r>
    </w:p>
    <w:p w14:paraId="4A3DE5FA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1) perioada de notificare prealabilă privind modificările ce pot surveni la contract;</w:t>
      </w:r>
    </w:p>
    <w:p w14:paraId="43AC913F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2) obligativitatea furnizorului, la necesitate, de a încheia un contract de asigurare obligatorie aferentă unor riscuri specifice;</w:t>
      </w:r>
    </w:p>
    <w:p w14:paraId="4E4CE72B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3) clauze privind securitatea informaţiei şi continuitatea activităţii, care vor conţine cel puţin următoarele:</w:t>
      </w:r>
    </w:p>
    <w:p w14:paraId="774D28D2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a) obligativitatea furnizorului de a se conforma cu reglementările TIC şi standardele de securitate a informaţiei şi continuitate a activităţii aplicabile </w:t>
      </w:r>
      <w:r w:rsidR="005243BA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</w:t>
      </w:r>
      <w:r w:rsidR="005243BA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;</w:t>
      </w:r>
    </w:p>
    <w:p w14:paraId="6623F613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b)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cerinţe specifice de securitate şi continuitate înaintate de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societate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pentru TIC externalizate ce stochează sau conţin date cu caracter personal;</w:t>
      </w:r>
    </w:p>
    <w:p w14:paraId="0CA4256D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c) cerinţe cu privire la asigurarea accesibilităţii, disponibilităţii, integrităţii şi confidenţialităţii datelor </w:t>
      </w:r>
      <w:r w:rsidR="005243BA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societăț</w:t>
      </w:r>
      <w:r w:rsidR="005243BA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ii</w:t>
      </w:r>
      <w:r w:rsidR="005243BA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în cadrul sistemului informaţional al furnizorului;</w:t>
      </w:r>
    </w:p>
    <w:p w14:paraId="103C7701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d) obligativitatea furnizorului de a stoca datele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în cadrul sistemelor informatice şi bazelor de date într-o manieră care să permită identificarea, exportul/extragerea şi ştergerea datelor la solicitarea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societății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;</w:t>
      </w:r>
    </w:p>
    <w:p w14:paraId="7AAE21E0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e) cerinţe faţă de furnizor cu privire la timpul de restabilire a serviciilor de externalizare TIC prestate în cazul producerii unor incidente;</w:t>
      </w:r>
    </w:p>
    <w:p w14:paraId="05567747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f) obligativitatea furnizorului de a dezvolta planuri de restabilire aferente serviciilor de externalizare TIC prestate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societății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;</w:t>
      </w:r>
    </w:p>
    <w:p w14:paraId="612A9DA8" w14:textId="77777777" w:rsidR="00EC2911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g) obligativitatea furnizorului de a efectua anual testele de continuitate a serviciilor de externalizare TIC cu raportarea rezultatelor către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societate </w:t>
      </w:r>
    </w:p>
    <w:p w14:paraId="3AEF1F15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4) prevederi cu privire la dreptul de acces al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la TIC şi la informaţie, care vor conţine cel puţin următoarele:</w:t>
      </w:r>
    </w:p>
    <w:p w14:paraId="0288356F" w14:textId="2B322323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a) obligativitatea furnizorului de a permite </w:t>
      </w:r>
      <w:r w:rsidR="00E55C0D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Băncii Naționale  Moldovei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, sau oricărei alte entităţi, sau persoanelor delegate de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societate</w:t>
      </w:r>
      <w:r w:rsidR="00C86973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,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accesul complet la toate încăperile, echipamentele şi sistemele utilizate pentru a presta serviciile de externalizare TIC;</w:t>
      </w:r>
    </w:p>
    <w:p w14:paraId="3E769DC5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b) dreptul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şi a </w:t>
      </w:r>
      <w:r w:rsidR="00E55C0D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>Băncii Naționale a Moldovei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val="ro-MD" w:eastAsia="ro-MD"/>
        </w:rPr>
        <w:t xml:space="preserve"> de a cere şi de a primi de la furnizor, fără întârzieri nejustificate, jurnale de audit şi copii de rezervă aferente, ca urmare a unor investigaţii, misiuni de audit sau în cazul întreruperii relaţiei cu furnizorul din orice motive;</w:t>
      </w:r>
    </w:p>
    <w:p w14:paraId="678F5C1E" w14:textId="74C57F2C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lastRenderedPageBreak/>
        <w:t xml:space="preserve">c) dreptul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la auditul TIC externalizate. După caz, unde este relevant, </w:t>
      </w:r>
      <w:r w:rsidR="00830C8B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societatea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se va asigura de posibilitatea efectuării testelor de penetrare a serviciilor de externalizare TIC prestate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de către furnizor;</w:t>
      </w:r>
    </w:p>
    <w:p w14:paraId="01CDDBAB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5) prevederi cu privire la asigurarea gestionării eficiente a riscurilor, în cazul încetării relaţiei cu furnizorul, care vor conţine cel puţin următoarele aspecte cu privire la dreptul de încetare a relaţiei cu furnizorul:</w:t>
      </w:r>
    </w:p>
    <w:p w14:paraId="5170F0C2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a) posibilitatea de încetare a relaţiei cu furnizorul cel puţin în următoarele cazuri:</w:t>
      </w:r>
    </w:p>
    <w:p w14:paraId="74D120D0" w14:textId="77777777" w:rsidR="00296F31" w:rsidRPr="006C713C" w:rsidRDefault="00174F7F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-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ab/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neconformarea furnizorului cu prevederile legale aferente domeniului TIC, securităţii informaţiei, a datelor cu caracter personal sau continuităţii activităţii;</w:t>
      </w:r>
    </w:p>
    <w:p w14:paraId="15E4B058" w14:textId="77777777" w:rsidR="00296F31" w:rsidRPr="006C713C" w:rsidRDefault="00174F7F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-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ab/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identificarea unor impedimente capabile să afecteze performanţa sau calitatea prestării serviciilor de externalizare TIC de către furnizor;</w:t>
      </w:r>
    </w:p>
    <w:p w14:paraId="014DDF4A" w14:textId="77777777" w:rsidR="00296F31" w:rsidRPr="006C713C" w:rsidRDefault="00174F7F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-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ab/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existenţa vulnerabilităţilor critice ce pot afecta securitatea informaţiei şi a datelor cu caracter personal ale clienţilor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societății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, pe care furnizorul refuză să le remedieze sau timpul prognozat pentru remediere poate avea impact negativ asupra clienţilor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societății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;</w:t>
      </w:r>
    </w:p>
    <w:p w14:paraId="237BB9A8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b) o perioadă de tranziţie în cazul încetării relaţiei cu furnizorul sau al transferului către alt furnizor, cu obligativitatea furnizorului de a acorda suport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;</w:t>
      </w:r>
    </w:p>
    <w:p w14:paraId="5C8E161B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c) obligativitatea furnizorului de a crea mecanisme ce vor permite identificarea şi ştergerea tuturor datelor ce ţin de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societate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 inclusiv cele aferente procesului de prestare de către furnizor a serviciilor de externalizare TIC</w:t>
      </w:r>
      <w:r w:rsidRPr="00962E1F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, cu excepţia cazurilor când datele ce ţin de </w:t>
      </w:r>
      <w:r w:rsidR="00324113" w:rsidRPr="00962E1F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societate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sunt necesare a fi păstrate pentru conformarea cu cerinţele legislaţiei.</w:t>
      </w:r>
    </w:p>
    <w:p w14:paraId="51F2F85D" w14:textId="7EE9D22B" w:rsidR="00296F31" w:rsidRPr="006C713C" w:rsidRDefault="00C51F5F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41</w:t>
      </w:r>
      <w:r w:rsidR="00296F31"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.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2465DA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Societatea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, suplimentar la prevederile </w:t>
      </w:r>
      <w:r w:rsidR="00BB17FB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Capitolului IV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 defineşte cerinţe cu privire la asigurarea continuităţii TIC, securităţii informaţiilor, performanţei şi calităţii externalizării TIC şi evaluează cel puţin următoarele:</w:t>
      </w:r>
    </w:p>
    <w:p w14:paraId="712EF52E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1) impactul potenţial al oricărei întreruperi sau perturbări în prestarea de către furnizor a externalizării TIC;</w:t>
      </w:r>
    </w:p>
    <w:p w14:paraId="3180C70B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2) viabilitatea externalizării TIC pe termen scurt şi pe termen lung, inclusiv costurile financiare aferente;</w:t>
      </w:r>
    </w:p>
    <w:p w14:paraId="3460C90A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3) impactul externalizării TIC asupra salariaţilor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;</w:t>
      </w:r>
    </w:p>
    <w:p w14:paraId="000D4886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4) aspectele legale şi reputaţionale aferente procesului de externalizare TIC;</w:t>
      </w:r>
    </w:p>
    <w:p w14:paraId="18A3DF86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5) impactul externalizării TIC asupra capacităţii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de a gestiona riscurile TIC şi de securitate a informaţiei, de a respecta cerinţele legale şi de reglementare;</w:t>
      </w:r>
    </w:p>
    <w:p w14:paraId="61C2DCEA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6) impactul externalizării TIC asupra capacităţii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de a efectua misiuni de audit, inclusiv a serviciilor externalizate;</w:t>
      </w:r>
    </w:p>
    <w:p w14:paraId="0BA1DE36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7) impactul externalizării TIC asupra riscului operaţional;</w:t>
      </w:r>
    </w:p>
    <w:p w14:paraId="5BD67FC7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8) impactul potenţial al externalizării TIC asupra calităţii serviciilor prestate clienţilor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;</w:t>
      </w:r>
    </w:p>
    <w:p w14:paraId="4EF0DE0B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9) riscul de concentrare, inclusiv riscul de contractare a unui furnizor dominant sau care nu este uşor de substituit;</w:t>
      </w:r>
    </w:p>
    <w:p w14:paraId="0983234B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10) riscul agregat ce rezultă din externalizarea mai multor funcţii </w:t>
      </w:r>
      <w:r w:rsidR="001564BD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și activități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ale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către acelaşi furnizor;</w:t>
      </w:r>
    </w:p>
    <w:p w14:paraId="06ED98D1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11) riscul de pierdere de către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societate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a controlului asupra externalizării TIC;</w:t>
      </w:r>
    </w:p>
    <w:p w14:paraId="640C2F9D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12) dacă furnizorul este supus supravegherii din partea autorităţilor competente;</w:t>
      </w:r>
    </w:p>
    <w:p w14:paraId="428B81E3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13) în cazul furnizorilor de sisteme </w:t>
      </w:r>
      <w:r w:rsidR="00962E1F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sau servicii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de tip cloud (ansamblu distribuit de sisteme/de stocare a datelor ale căror servicii sunt disponibile la cerere, accesate printr-o reţea, pentru care nu se cunoaşte amplasarea fizică exactă), riscurile asociate tipului de cloud utilizat (public/privat/hibrid) şi locaţiei fizice a stocării/procesării datelor;</w:t>
      </w:r>
    </w:p>
    <w:p w14:paraId="7D02B1DC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14) riscul de portabilitate a tehnologiilor utilizate de către furnizor;</w:t>
      </w:r>
    </w:p>
    <w:p w14:paraId="6B6E414D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15) posibilitatea de a extinde sau a reduce volumul externalizării TIC fără a revizui aranjamentele contractuale;</w:t>
      </w:r>
    </w:p>
    <w:p w14:paraId="7FCC14E4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lastRenderedPageBreak/>
        <w:t xml:space="preserve">16) capacitatea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de a transfera externalizarea TIC către un alt furnizor, inclusiv costurile estimative, timpul necesar, dificultăţile ce pot apărea;</w:t>
      </w:r>
    </w:p>
    <w:p w14:paraId="534A5AA6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17) capacitatea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de a reintegra TIC externalizate în cadrul activităţilor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.</w:t>
      </w:r>
    </w:p>
    <w:p w14:paraId="66847AD4" w14:textId="702F1D0A" w:rsidR="00296F31" w:rsidRPr="006C713C" w:rsidRDefault="00470372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4</w:t>
      </w:r>
      <w:r w:rsidR="00C51F5F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2</w:t>
      </w:r>
      <w:r w:rsidR="00296F31"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.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În cazul externalizării TIC </w:t>
      </w:r>
      <w:r w:rsidR="00D02382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în stat</w:t>
      </w:r>
      <w:r w:rsidR="004978C4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terț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, </w:t>
      </w:r>
      <w:r w:rsidR="00830C8B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societatea 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urmează să identifice riscul de ţară aferent furnizorului în cauză. La identificarea riscului de ţară aferent furnizorului respectiv, </w:t>
      </w:r>
      <w:r w:rsidR="00830C8B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societatea 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va evalua cel puţin următoarele:</w:t>
      </w:r>
    </w:p>
    <w:p w14:paraId="0368FFC5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1) complexitatea reglementărilor privind prestarea serviciilor de externalizare TIC, protecţia datelor cu caracter personal şi insolvabilitatea;</w:t>
      </w:r>
    </w:p>
    <w:p w14:paraId="6E28D97E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2) riscul de instabilitate politică care ar putea să aibă impact asupra furnizorului;</w:t>
      </w:r>
    </w:p>
    <w:p w14:paraId="302CA811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3) riscul climateric şi al mediului unde este amplasat echipamentul furnizorului;</w:t>
      </w:r>
    </w:p>
    <w:p w14:paraId="3C38603B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4) problemele culturale şi/sau lingvistice cu privire la aşteptările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societății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faţă de serviciile de externalizare TIC;</w:t>
      </w:r>
    </w:p>
    <w:p w14:paraId="59D078EB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5) fusul orar în care este amplasat furnizorul şi disponibilitatea personalului său de a remedia incidentele în timp util.</w:t>
      </w:r>
    </w:p>
    <w:p w14:paraId="2DBBC622" w14:textId="01450C16" w:rsidR="00296F31" w:rsidRDefault="00470372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4</w:t>
      </w:r>
      <w:r w:rsidR="00C51F5F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3</w:t>
      </w:r>
      <w:r w:rsidR="000600F6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. La externalizarea în cloud </w:t>
      </w:r>
      <w:r w:rsidR="00F46209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a </w:t>
      </w:r>
      <w:r w:rsidR="000600F6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TIC, furnizorul cloud trebuie să dețină următoarele certificate, valabile pe toată perioada externalizării activității TIC:</w:t>
      </w:r>
    </w:p>
    <w:p w14:paraId="17ACDC5F" w14:textId="77777777" w:rsidR="000600F6" w:rsidRDefault="000600F6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1) deținerea certificatului ISO/IEC 27017:2015;</w:t>
      </w:r>
    </w:p>
    <w:p w14:paraId="5D8EF011" w14:textId="77777777" w:rsidR="000600F6" w:rsidRDefault="000600F6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2) deținerea certificatului ISO/IEC 27018:2019;</w:t>
      </w:r>
    </w:p>
    <w:p w14:paraId="4F9CA7EC" w14:textId="77777777" w:rsidR="000600F6" w:rsidRPr="006C713C" w:rsidRDefault="000600F6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3) deținerea certificatului ISO/IEC20000-1:2018</w:t>
      </w:r>
    </w:p>
    <w:p w14:paraId="47E2EA37" w14:textId="77777777" w:rsidR="00876036" w:rsidRDefault="00876036" w:rsidP="001B3D44">
      <w:pPr>
        <w:ind w:firstLine="284"/>
        <w:jc w:val="center"/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</w:pPr>
    </w:p>
    <w:p w14:paraId="674025E2" w14:textId="77777777" w:rsidR="00296F31" w:rsidRPr="006C713C" w:rsidRDefault="00296F31" w:rsidP="001B3D44">
      <w:pPr>
        <w:ind w:firstLine="284"/>
        <w:jc w:val="center"/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Secţiunea 3</w:t>
      </w:r>
    </w:p>
    <w:p w14:paraId="22FA2A24" w14:textId="77777777" w:rsidR="00296F31" w:rsidRPr="006C713C" w:rsidRDefault="00296F31" w:rsidP="001B3D44">
      <w:pPr>
        <w:ind w:firstLine="284"/>
        <w:jc w:val="center"/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Controlul activităţilor TIC externalizate</w:t>
      </w:r>
    </w:p>
    <w:p w14:paraId="722F7527" w14:textId="313DDFBB" w:rsidR="00296F31" w:rsidRPr="006C713C" w:rsidRDefault="00470372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4</w:t>
      </w:r>
      <w:r w:rsidR="00C51F5F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4</w:t>
      </w:r>
      <w:r w:rsidR="00296F31" w:rsidRPr="006C713C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.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830C8B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Societatea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 pentru a se asigura că gestionează eficient riscurile asociate reintegrării TIC externalizate, la întreruperea relaţiei cu furnizorul, va întreprinde cel puţin următoarele măsuri:</w:t>
      </w:r>
    </w:p>
    <w:p w14:paraId="21AE3D59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1) elaborarea unei strategii de reintegrare a TIC externalizate, care va asigura continuitatea activităţilor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societății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 conformarea cu cerinţele cadrului de reglementare şi evitarea impactului asupra calităţii deservirii clienţilor în cazul întreruperii relaţiei cu furnizorul;</w:t>
      </w:r>
    </w:p>
    <w:p w14:paraId="347453A1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2) asigurarea că strategia prevăzută la subpct.1) din prezentul punct va conţine cel puţin următoarele:</w:t>
      </w:r>
    </w:p>
    <w:p w14:paraId="6DB90839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a) obiectivele strategiei;</w:t>
      </w:r>
    </w:p>
    <w:p w14:paraId="6E7D7082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b) analiza de impact şi analiza de riscuri aferente procesului de reintegrare a externalizării TIC;</w:t>
      </w:r>
    </w:p>
    <w:p w14:paraId="5D522A87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c) identificarea resurselor tehnico-organizatorice, umane şi financiare, inclusiv a perioadei necesare implementării strategiei;</w:t>
      </w:r>
    </w:p>
    <w:p w14:paraId="34366E43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d) alocarea rolurilor şi responsabilităţilor pentru gestiunea strategiei;</w:t>
      </w:r>
    </w:p>
    <w:p w14:paraId="2730C56D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e) factorii critici de succes în procesul de reintegrare;</w:t>
      </w:r>
    </w:p>
    <w:p w14:paraId="1512AC36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f) indicatorii de performanţă şi calitate ai serviciilor externalizate ce urmează a fi monitorizaţi de către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societate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şi care vor declanşa aplicarea strategiei;</w:t>
      </w:r>
    </w:p>
    <w:p w14:paraId="08653D48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3) revizuirea, cel puţin o dată pe an, a strategiei de reintegrare a TIC externalizate pentru a asigura viabilitatea ei.</w:t>
      </w:r>
    </w:p>
    <w:p w14:paraId="2EECA655" w14:textId="0C1B95CB" w:rsidR="00296F31" w:rsidRPr="006C713C" w:rsidRDefault="00470372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4</w:t>
      </w:r>
      <w:r w:rsidR="00C51F5F"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5</w:t>
      </w:r>
      <w:r>
        <w:rPr>
          <w:rFonts w:ascii="PermianSlabSerifTypeface" w:hAnsi="PermianSlabSerifTypeface"/>
          <w:b/>
          <w:color w:val="000000" w:themeColor="text1"/>
          <w:sz w:val="22"/>
          <w:szCs w:val="22"/>
          <w:lang w:eastAsia="ro-MD"/>
        </w:rPr>
        <w:t>.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830C8B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Societatea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, pentru a asigura o supraveghere eficientă a externalizării TIC, se va conforma cu prevederile pct.</w:t>
      </w:r>
      <w:r w:rsidR="004962C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3</w:t>
      </w:r>
      <w:r w:rsidR="00C51F5F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0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296F31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şi cu cel puţin următoarele:</w:t>
      </w:r>
    </w:p>
    <w:p w14:paraId="47B5E70A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1) alocarea suficientă a resurselor tehnice, financiare, inclusiv umane, ce deţin cunoştinţe pentru a asigura o monitorizare eficientă a externalizării TIC;</w:t>
      </w:r>
    </w:p>
    <w:p w14:paraId="286D5482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2) monitorizarea, în mod continuu, a performanţelor şi calităţii </w:t>
      </w:r>
      <w:r w:rsidR="00F46209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TIC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  <w:r w:rsidR="00F46209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externalizate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prestate de furnizor pentru a se asigura că acestea corespund cu cerinţele stabilite în contract. Evaluarea performanţei poate fi efectuată prin intermediul următoarelor surse, fără a se limita la acestea: rapoartele privind livrarea serviciului prestat de către furnizor, indicatorii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lastRenderedPageBreak/>
        <w:t>de performanţă, de calitate, de continuitate, revizuirile independente, certificările, rapoartele privind testele de continuitate;</w:t>
      </w:r>
    </w:p>
    <w:p w14:paraId="054FCBF5" w14:textId="77777777" w:rsidR="00296F31" w:rsidRPr="006C713C" w:rsidRDefault="00296F31" w:rsidP="001B3D44">
      <w:pPr>
        <w:ind w:firstLine="284"/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3) revizuirea periodică şi raportarea către organul de conducere al </w:t>
      </w:r>
      <w:r w:rsidR="00324113"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societății de asigurare sau de reasigurare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despre schimbările profilului de risc aferent externalizării TIC.</w:t>
      </w:r>
    </w:p>
    <w:p w14:paraId="6150297A" w14:textId="77777777" w:rsidR="0029101E" w:rsidRPr="006C713C" w:rsidRDefault="0029101E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</w:p>
    <w:p w14:paraId="5B54255B" w14:textId="77777777" w:rsidR="00C876CD" w:rsidRPr="006C713C" w:rsidRDefault="00C876CD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</w:p>
    <w:p w14:paraId="4629ED73" w14:textId="77777777" w:rsidR="00C876CD" w:rsidRPr="006C713C" w:rsidRDefault="00C876CD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</w:p>
    <w:p w14:paraId="51872300" w14:textId="77777777" w:rsidR="004020E7" w:rsidRPr="006C713C" w:rsidRDefault="004C5B39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Anexă</w:t>
      </w:r>
    </w:p>
    <w:p w14:paraId="4856A91E" w14:textId="77777777" w:rsidR="00A52A60" w:rsidRDefault="004C5B39" w:rsidP="00805F2C">
      <w:pPr>
        <w:jc w:val="right"/>
        <w:rPr>
          <w:rFonts w:ascii="PermianSlabSerifTypeface" w:hAnsi="PermianSlabSerifTypeface"/>
          <w:bCs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>la</w:t>
      </w:r>
      <w:r w:rsidRPr="006C713C">
        <w:rPr>
          <w:rFonts w:ascii="PermianSlabSerifTypeface" w:hAnsi="PermianSlabSerifTypeface"/>
          <w:bCs/>
          <w:color w:val="000000" w:themeColor="text1"/>
          <w:sz w:val="22"/>
          <w:szCs w:val="22"/>
          <w:lang w:eastAsia="ro-RO"/>
        </w:rPr>
        <w:t xml:space="preserve"> Regulamentul </w:t>
      </w:r>
      <w:r w:rsidRPr="006C713C">
        <w:rPr>
          <w:rFonts w:ascii="PermianSlabSerifTypeface" w:hAnsi="PermianSlabSerifTypeface"/>
          <w:bCs/>
          <w:color w:val="000000" w:themeColor="text1"/>
          <w:sz w:val="22"/>
          <w:szCs w:val="22"/>
          <w:lang w:eastAsia="ro-MD"/>
        </w:rPr>
        <w:t xml:space="preserve">privind externalizarea funcțiilor </w:t>
      </w:r>
    </w:p>
    <w:p w14:paraId="3FA2AFE0" w14:textId="77777777" w:rsidR="004C5B39" w:rsidRPr="006C713C" w:rsidRDefault="004C5B39" w:rsidP="00805F2C">
      <w:pPr>
        <w:jc w:val="right"/>
        <w:rPr>
          <w:rFonts w:ascii="PermianSlabSerifTypeface" w:hAnsi="PermianSlabSerifTypeface"/>
          <w:bCs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Cs/>
          <w:color w:val="000000" w:themeColor="text1"/>
          <w:sz w:val="22"/>
          <w:szCs w:val="22"/>
          <w:lang w:eastAsia="ro-MD"/>
        </w:rPr>
        <w:t xml:space="preserve">și activităților </w:t>
      </w:r>
      <w:r w:rsidR="00A52A60">
        <w:rPr>
          <w:rFonts w:ascii="PermianSlabSerifTypeface" w:hAnsi="PermianSlabSerifTypeface"/>
          <w:bCs/>
          <w:color w:val="000000" w:themeColor="text1"/>
          <w:sz w:val="22"/>
          <w:szCs w:val="22"/>
          <w:lang w:eastAsia="ro-MD"/>
        </w:rPr>
        <w:t>legate de activitatea de asigurare sau de reasigurare</w:t>
      </w:r>
    </w:p>
    <w:p w14:paraId="5F420541" w14:textId="77777777" w:rsidR="004C5B39" w:rsidRPr="006C713C" w:rsidRDefault="004C5B39" w:rsidP="00805F2C">
      <w:pPr>
        <w:jc w:val="right"/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bCs/>
          <w:color w:val="000000" w:themeColor="text1"/>
          <w:sz w:val="22"/>
          <w:szCs w:val="22"/>
          <w:lang w:eastAsia="ro-MD"/>
        </w:rPr>
        <w:t>de către societățile de asigurare sau de reasigurare</w:t>
      </w:r>
    </w:p>
    <w:p w14:paraId="02D08980" w14:textId="77777777" w:rsidR="004C5B39" w:rsidRPr="006C713C" w:rsidDel="004C5B39" w:rsidRDefault="004C5B39" w:rsidP="00805F2C">
      <w:pPr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</w:pPr>
      <w:r w:rsidRPr="006C713C">
        <w:rPr>
          <w:rFonts w:ascii="PermianSlabSerifTypeface" w:hAnsi="PermianSlabSerifTypeface"/>
          <w:color w:val="000000" w:themeColor="text1"/>
          <w:sz w:val="22"/>
          <w:szCs w:val="22"/>
          <w:lang w:eastAsia="ro-MD"/>
        </w:rPr>
        <w:t xml:space="preserve"> 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5965"/>
      </w:tblGrid>
      <w:tr w:rsidR="004C5B39" w:rsidRPr="006C713C" w14:paraId="6BEC2649" w14:textId="77777777" w:rsidTr="004C5B39">
        <w:tc>
          <w:tcPr>
            <w:tcW w:w="1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7A2C8" w14:textId="77777777" w:rsidR="004C5B39" w:rsidRPr="006C713C" w:rsidRDefault="004C5B39" w:rsidP="00805F2C">
            <w:pPr>
              <w:rPr>
                <w:rFonts w:ascii="PermianSlabSerifTypeface" w:hAnsi="PermianSlabSerifTypeface"/>
                <w:sz w:val="22"/>
                <w:szCs w:val="22"/>
                <w:lang w:val="en-US" w:eastAsia="en-US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26C9DBD" w14:textId="77777777" w:rsidR="004C5B39" w:rsidRPr="006C713C" w:rsidRDefault="004C5B39" w:rsidP="00805F2C">
            <w:pPr>
              <w:jc w:val="right"/>
              <w:rPr>
                <w:rFonts w:ascii="PermianSlabSerifTypeface" w:hAnsi="PermianSlabSerifTypeface"/>
                <w:sz w:val="22"/>
                <w:szCs w:val="22"/>
                <w:lang w:val="en-US" w:eastAsia="en-US"/>
              </w:rPr>
            </w:pPr>
          </w:p>
        </w:tc>
      </w:tr>
      <w:tr w:rsidR="004C5B39" w:rsidRPr="006C713C" w14:paraId="76958DCE" w14:textId="77777777" w:rsidTr="004C5B3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5BB6C" w14:textId="77777777" w:rsidR="004C5B39" w:rsidRPr="006C713C" w:rsidRDefault="004C5B39" w:rsidP="00CF52AE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 xml:space="preserve">codul </w:t>
            </w:r>
            <w:r w:rsidR="00CF52AE"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societății de asigurare sau de reasigurare</w:t>
            </w: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 xml:space="preserve"> </w:t>
            </w:r>
          </w:p>
        </w:tc>
        <w:tc>
          <w:tcPr>
            <w:tcW w:w="3267" w:type="pct"/>
            <w:vAlign w:val="center"/>
            <w:hideMark/>
          </w:tcPr>
          <w:p w14:paraId="6E7416A4" w14:textId="77777777" w:rsidR="004C5B39" w:rsidRPr="006C713C" w:rsidRDefault="004C5B39" w:rsidP="00805F2C">
            <w:pPr>
              <w:rPr>
                <w:rFonts w:ascii="PermianSlabSerifTypeface" w:hAnsi="PermianSlabSerifTypeface"/>
                <w:sz w:val="22"/>
                <w:szCs w:val="22"/>
                <w:lang w:val="en-US" w:eastAsia="en-US"/>
              </w:rPr>
            </w:pPr>
          </w:p>
        </w:tc>
      </w:tr>
    </w:tbl>
    <w:p w14:paraId="626E1E55" w14:textId="77777777" w:rsidR="004C5B39" w:rsidRPr="006C713C" w:rsidRDefault="004C5B39" w:rsidP="00805F2C">
      <w:pP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/>
          <w:sz w:val="22"/>
          <w:szCs w:val="22"/>
          <w:lang w:val="en-US" w:eastAsia="en-US"/>
        </w:rPr>
        <w:br/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4"/>
      </w:tblGrid>
      <w:tr w:rsidR="004C5B39" w:rsidRPr="006C713C" w14:paraId="10AA3EB9" w14:textId="77777777" w:rsidTr="004C5B3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E7E84" w14:textId="77777777" w:rsidR="004C5B39" w:rsidRPr="006C713C" w:rsidRDefault="004C5B39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  <w:t>Raport privind funcțiile și activităţile externalizate</w:t>
            </w:r>
            <w:r w:rsidR="00F17D3C"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  <w:t xml:space="preserve"> de către societățile de asigurare sau de reasigurare</w:t>
            </w:r>
          </w:p>
          <w:p w14:paraId="36986D6A" w14:textId="77777777" w:rsidR="004C5B39" w:rsidRPr="006C713C" w:rsidRDefault="004C5B39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la situaţia din __________ 20__</w:t>
            </w:r>
          </w:p>
        </w:tc>
      </w:tr>
    </w:tbl>
    <w:p w14:paraId="6E34F00F" w14:textId="77777777" w:rsidR="004C5B39" w:rsidRPr="006C713C" w:rsidRDefault="004C5B39" w:rsidP="00805F2C">
      <w:pPr>
        <w:jc w:val="both"/>
        <w:rPr>
          <w:rFonts w:ascii="PermianSlabSerifTypeface" w:hAnsi="PermianSlabSerifTypeface"/>
          <w:sz w:val="22"/>
          <w:szCs w:val="22"/>
          <w:lang w:val="ro-MD" w:eastAsia="en-US"/>
        </w:rPr>
      </w:pPr>
      <w:r w:rsidRPr="006C713C">
        <w:rPr>
          <w:rFonts w:ascii="PermianSlabSerifTypeface" w:hAnsi="PermianSlabSerifTypeface"/>
          <w:sz w:val="22"/>
          <w:szCs w:val="22"/>
          <w:lang w:val="ro-MD" w:eastAsia="en-US"/>
        </w:rPr>
        <w:t> </w:t>
      </w:r>
    </w:p>
    <w:tbl>
      <w:tblPr>
        <w:tblW w:w="5078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318"/>
        <w:gridCol w:w="1043"/>
        <w:gridCol w:w="1209"/>
        <w:gridCol w:w="148"/>
        <w:gridCol w:w="1478"/>
        <w:gridCol w:w="1209"/>
        <w:gridCol w:w="1209"/>
        <w:gridCol w:w="1342"/>
        <w:gridCol w:w="1209"/>
        <w:gridCol w:w="220"/>
      </w:tblGrid>
      <w:tr w:rsidR="00A52A60" w:rsidRPr="006C713C" w14:paraId="18C46C8D" w14:textId="77777777" w:rsidTr="00DE446F">
        <w:trPr>
          <w:gridAfter w:val="1"/>
          <w:wAfter w:w="112" w:type="pct"/>
          <w:trHeight w:val="1018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A59C5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>Nr.</w:t>
            </w: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br/>
              <w:t>d/o</w:t>
            </w: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2D12D" w14:textId="77777777" w:rsidR="00A52A60" w:rsidRPr="006C713C" w:rsidRDefault="00A52A60" w:rsidP="00A52A60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 xml:space="preserve">Denumirea funcției </w:t>
            </w:r>
            <w:r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>/</w:t>
            </w: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 xml:space="preserve"> activităţii externalizate</w:t>
            </w: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F99DE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>Denumirea</w:t>
            </w:r>
          </w:p>
          <w:p w14:paraId="02DEB06B" w14:textId="77777777" w:rsidR="00A52A60" w:rsidRDefault="00A52A60" w:rsidP="00805F2C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>furnizorului</w:t>
            </w:r>
          </w:p>
          <w:p w14:paraId="3422B963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>IDNO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ECD81" w14:textId="77777777" w:rsidR="00A52A60" w:rsidRPr="006C713C" w:rsidRDefault="00A52A60" w:rsidP="00A52A60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>Adresa juridică a furnizorului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258EA3BC" w14:textId="77777777" w:rsidR="00A52A60" w:rsidRPr="006C713C" w:rsidRDefault="00C661CE" w:rsidP="00805F2C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>Periaoda de valabilitate a contractului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C2C1CEA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 xml:space="preserve">Adresă de poștă electronica a furnizorului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E30FE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 xml:space="preserve">Data obţinerii aprobării prealabile </w:t>
            </w:r>
          </w:p>
          <w:p w14:paraId="7F8A875E" w14:textId="77777777" w:rsidR="00A52A60" w:rsidRPr="006C713C" w:rsidRDefault="00A52A60" w:rsidP="00805F2C">
            <w:pPr>
              <w:jc w:val="both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80E2C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Cs/>
                <w:sz w:val="22"/>
                <w:szCs w:val="22"/>
                <w:lang w:val="ro-MD" w:eastAsia="en-US"/>
              </w:rPr>
              <w:t>Notă</w:t>
            </w:r>
          </w:p>
        </w:tc>
      </w:tr>
      <w:tr w:rsidR="00A52A60" w:rsidRPr="006C713C" w14:paraId="28F4C181" w14:textId="77777777" w:rsidTr="00DE446F">
        <w:trPr>
          <w:gridAfter w:val="1"/>
          <w:wAfter w:w="112" w:type="pct"/>
          <w:trHeight w:val="202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52A66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  <w:t>A</w:t>
            </w: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873D8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  <w:t>B</w:t>
            </w: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0ED1B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  <w:t>1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4CACC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  <w:t>2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D179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CEDF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  <w:t>3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11887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  <w:t>4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6D2E0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b/>
                <w:bCs/>
                <w:sz w:val="22"/>
                <w:szCs w:val="22"/>
                <w:lang w:val="ro-MD" w:eastAsia="en-US"/>
              </w:rPr>
              <w:t>5</w:t>
            </w:r>
          </w:p>
        </w:tc>
      </w:tr>
      <w:tr w:rsidR="00A52A60" w:rsidRPr="006C713C" w14:paraId="655742B6" w14:textId="77777777" w:rsidTr="00DE446F">
        <w:trPr>
          <w:gridAfter w:val="1"/>
          <w:wAfter w:w="112" w:type="pct"/>
          <w:trHeight w:val="195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03B71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1</w:t>
            </w: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54621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01EED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F5A1E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F995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83F2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9CB4F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96652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</w:tr>
      <w:tr w:rsidR="00A52A60" w:rsidRPr="006C713C" w14:paraId="2E3F7AB0" w14:textId="77777777" w:rsidTr="00DE446F">
        <w:trPr>
          <w:gridAfter w:val="1"/>
          <w:wAfter w:w="112" w:type="pct"/>
          <w:trHeight w:val="202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721BF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2</w:t>
            </w: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6903A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7D3DE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7BA78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9118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172A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5911C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C9365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</w:tr>
      <w:tr w:rsidR="00A52A60" w:rsidRPr="006C713C" w14:paraId="03A259F2" w14:textId="77777777" w:rsidTr="00DE446F">
        <w:trPr>
          <w:gridAfter w:val="1"/>
          <w:wAfter w:w="112" w:type="pct"/>
          <w:trHeight w:val="195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26D94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...</w:t>
            </w: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2B714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68530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02CEC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3333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100B8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580D6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C8475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</w:tr>
      <w:tr w:rsidR="00A52A60" w:rsidRPr="006C713C" w14:paraId="20A51477" w14:textId="77777777" w:rsidTr="00DE446F">
        <w:trPr>
          <w:gridAfter w:val="1"/>
          <w:wAfter w:w="112" w:type="pct"/>
          <w:trHeight w:val="202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13970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n</w:t>
            </w: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52AB8" w14:textId="77777777" w:rsidR="00A52A60" w:rsidRPr="006C713C" w:rsidRDefault="00A52A60" w:rsidP="00805F2C">
            <w:pPr>
              <w:jc w:val="center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4B50E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29640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0FFC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FE40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6D6F0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  <w:r w:rsidRPr="006C713C"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06810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</w:tr>
      <w:tr w:rsidR="00A52A60" w:rsidRPr="006C713C" w14:paraId="5AF71A55" w14:textId="77777777" w:rsidTr="00DE446F">
        <w:trPr>
          <w:trHeight w:val="1184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EED5F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14:paraId="6FB55509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1A8C4078" w14:textId="77777777" w:rsidR="00A52A60" w:rsidRPr="006C713C" w:rsidRDefault="00A52A60" w:rsidP="00805F2C">
            <w:pPr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  <w:tc>
          <w:tcPr>
            <w:tcW w:w="3495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C65D53" w14:textId="77777777" w:rsidR="00A52A60" w:rsidRPr="006C713C" w:rsidRDefault="00A52A60" w:rsidP="00805F2C">
            <w:pPr>
              <w:jc w:val="both"/>
              <w:rPr>
                <w:rFonts w:ascii="PermianSlabSerifTypeface" w:hAnsi="PermianSlabSerifTypeface"/>
                <w:sz w:val="22"/>
                <w:szCs w:val="22"/>
                <w:lang w:val="ro-MD" w:eastAsia="en-US"/>
              </w:rPr>
            </w:pPr>
          </w:p>
        </w:tc>
      </w:tr>
    </w:tbl>
    <w:p w14:paraId="1000DABA" w14:textId="43D44A90" w:rsidR="000E0876" w:rsidRDefault="000E0876" w:rsidP="004041B4">
      <w:pPr>
        <w:jc w:val="both"/>
        <w:rPr>
          <w:rFonts w:ascii="PermianSlabSerifTypeface" w:hAnsi="PermianSlabSerifTypeface"/>
          <w:b/>
          <w:bCs/>
          <w:sz w:val="22"/>
          <w:szCs w:val="22"/>
          <w:lang w:val="ro-MD" w:eastAsia="en-US"/>
        </w:rPr>
      </w:pPr>
      <w:r w:rsidRPr="006C713C">
        <w:rPr>
          <w:rFonts w:ascii="PermianSlabSerifTypeface" w:hAnsi="PermianSlabSerifTypeface"/>
          <w:sz w:val="22"/>
          <w:szCs w:val="22"/>
          <w:lang w:val="ro-MD" w:eastAsia="en-US"/>
        </w:rPr>
        <w:t>Executorul şi numărul de telefon _____________</w:t>
      </w:r>
    </w:p>
    <w:p w14:paraId="57D35CAA" w14:textId="77777777" w:rsidR="000E0876" w:rsidRDefault="000E0876" w:rsidP="004041B4">
      <w:pPr>
        <w:jc w:val="both"/>
        <w:rPr>
          <w:rFonts w:ascii="PermianSlabSerifTypeface" w:hAnsi="PermianSlabSerifTypeface"/>
          <w:b/>
          <w:bCs/>
          <w:sz w:val="22"/>
          <w:szCs w:val="22"/>
          <w:lang w:val="ro-MD" w:eastAsia="en-US"/>
        </w:rPr>
      </w:pPr>
    </w:p>
    <w:p w14:paraId="4EC4AFDA" w14:textId="0BD3CFB0" w:rsidR="004041B4" w:rsidRPr="006C713C" w:rsidRDefault="004041B4" w:rsidP="004041B4">
      <w:pPr>
        <w:jc w:val="both"/>
        <w:rPr>
          <w:rFonts w:ascii="PermianSlabSerifTypeface" w:hAnsi="PermianSlabSerifTypeface"/>
          <w:sz w:val="22"/>
          <w:szCs w:val="22"/>
          <w:lang w:val="ro-MD" w:eastAsia="en-US"/>
        </w:rPr>
      </w:pPr>
      <w:r w:rsidRPr="006C713C">
        <w:rPr>
          <w:rFonts w:ascii="PermianSlabSerifTypeface" w:hAnsi="PermianSlabSerifTypeface"/>
          <w:b/>
          <w:bCs/>
          <w:sz w:val="22"/>
          <w:szCs w:val="22"/>
          <w:lang w:val="ro-MD" w:eastAsia="en-US"/>
        </w:rPr>
        <w:t>Modul de completare:</w:t>
      </w:r>
    </w:p>
    <w:p w14:paraId="4026D6B1" w14:textId="39EF849B" w:rsidR="004C5B39" w:rsidRPr="006C713C" w:rsidRDefault="004041B4" w:rsidP="00805F2C">
      <w:pPr>
        <w:jc w:val="both"/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</w:rPr>
      </w:pPr>
      <w:r w:rsidRPr="006C713C">
        <w:rPr>
          <w:rFonts w:ascii="PermianSlabSerifTypeface" w:hAnsi="PermianSlabSerifTypeface"/>
          <w:sz w:val="22"/>
          <w:szCs w:val="22"/>
          <w:lang w:val="ro-MD" w:eastAsia="en-US"/>
        </w:rPr>
        <w:t xml:space="preserve">Raportul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>cuprinde lista funcțiilor și activităţilor externalizate de asigurător sau reasigurător, denumirea furnizorului de servicii</w:t>
      </w:r>
      <w: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>, IDNO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>, adresa juridică,</w:t>
      </w:r>
      <w: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 xml:space="preserve"> perioada de valabilitate a contractului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 xml:space="preserve"> adresa de poștă electronică, data obţinerii aprobării prealabile. În coloana „Data obţinerii aprobării prealabile” se reflectă data obţinerii aprobării prealabile scrise a </w:t>
      </w:r>
      <w: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>Băncii Naționale a Moldovei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 xml:space="preserve"> pentru externalizarea de către </w:t>
      </w:r>
      <w: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 xml:space="preserve">societate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 xml:space="preserve">a funcției și activităţii. În coloana "Notă" se va reflecta informaţia aferentă funcțiilor și activităţilor respective care </w:t>
      </w:r>
      <w:r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 xml:space="preserve">societatea </w:t>
      </w:r>
      <w:r w:rsidRPr="006C713C">
        <w:rPr>
          <w:rFonts w:ascii="PermianSlabSerifTypeface" w:hAnsi="PermianSlabSerifTypeface"/>
          <w:color w:val="000000" w:themeColor="text1"/>
          <w:sz w:val="22"/>
          <w:szCs w:val="22"/>
          <w:shd w:val="clear" w:color="auto" w:fill="FFFFFF"/>
          <w:lang w:val="ro-MD"/>
        </w:rPr>
        <w:t>le consideră necesare a fi specificate în Raport în dependenţă de fiecare caz în parte.</w:t>
      </w:r>
    </w:p>
    <w:sectPr w:rsidR="004C5B39" w:rsidRPr="006C713C" w:rsidSect="003F078C">
      <w:headerReference w:type="default" r:id="rId11"/>
      <w:footerReference w:type="default" r:id="rId12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25AAF" w14:textId="77777777" w:rsidR="007D56D9" w:rsidRDefault="007D56D9" w:rsidP="007C06D3">
      <w:r>
        <w:separator/>
      </w:r>
    </w:p>
  </w:endnote>
  <w:endnote w:type="continuationSeparator" w:id="0">
    <w:p w14:paraId="16CFACF1" w14:textId="77777777" w:rsidR="007D56D9" w:rsidRDefault="007D56D9" w:rsidP="007C06D3">
      <w:r>
        <w:continuationSeparator/>
      </w:r>
    </w:p>
  </w:endnote>
  <w:endnote w:type="continuationNotice" w:id="1">
    <w:p w14:paraId="4B49C6A9" w14:textId="77777777" w:rsidR="007D56D9" w:rsidRDefault="007D5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E607" w14:textId="5C3A3BC4" w:rsidR="008A110B" w:rsidRDefault="007D56D9">
    <w:pPr>
      <w:pStyle w:val="Footer"/>
      <w:jc w:val="right"/>
    </w:pPr>
    <w:sdt>
      <w:sdtPr>
        <w:id w:val="-1816763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110B">
          <w:fldChar w:fldCharType="begin"/>
        </w:r>
        <w:r w:rsidR="008A110B">
          <w:instrText xml:space="preserve"> PAGE   \* MERGEFORMAT </w:instrText>
        </w:r>
        <w:r w:rsidR="008A110B">
          <w:fldChar w:fldCharType="separate"/>
        </w:r>
        <w:r w:rsidR="00C92796">
          <w:rPr>
            <w:noProof/>
          </w:rPr>
          <w:t>1</w:t>
        </w:r>
        <w:r w:rsidR="008A110B">
          <w:rPr>
            <w:noProof/>
          </w:rPr>
          <w:fldChar w:fldCharType="end"/>
        </w:r>
      </w:sdtContent>
    </w:sdt>
  </w:p>
  <w:p w14:paraId="39244CF8" w14:textId="77777777" w:rsidR="008A110B" w:rsidRDefault="008A1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C6B3B" w14:textId="77777777" w:rsidR="007D56D9" w:rsidRDefault="007D56D9" w:rsidP="007C06D3">
      <w:r>
        <w:separator/>
      </w:r>
    </w:p>
  </w:footnote>
  <w:footnote w:type="continuationSeparator" w:id="0">
    <w:p w14:paraId="544DC8C9" w14:textId="77777777" w:rsidR="007D56D9" w:rsidRDefault="007D56D9" w:rsidP="007C06D3">
      <w:r>
        <w:continuationSeparator/>
      </w:r>
    </w:p>
  </w:footnote>
  <w:footnote w:type="continuationNotice" w:id="1">
    <w:p w14:paraId="32B26E4F" w14:textId="77777777" w:rsidR="007D56D9" w:rsidRDefault="007D5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91516" w14:textId="77777777" w:rsidR="008A110B" w:rsidRDefault="008A110B" w:rsidP="00FC3B70">
    <w:pPr>
      <w:pStyle w:val="Header"/>
      <w:tabs>
        <w:tab w:val="left" w:pos="821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59A0"/>
    <w:multiLevelType w:val="hybridMultilevel"/>
    <w:tmpl w:val="9D36B76E"/>
    <w:lvl w:ilvl="0" w:tplc="E40E77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D34AF"/>
    <w:multiLevelType w:val="hybridMultilevel"/>
    <w:tmpl w:val="DB3ADC24"/>
    <w:lvl w:ilvl="0" w:tplc="E782EAF2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04BD"/>
    <w:multiLevelType w:val="hybridMultilevel"/>
    <w:tmpl w:val="9C723A44"/>
    <w:lvl w:ilvl="0" w:tplc="0DC20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F5C81"/>
    <w:multiLevelType w:val="multilevel"/>
    <w:tmpl w:val="36AEFB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8837B3"/>
    <w:multiLevelType w:val="hybridMultilevel"/>
    <w:tmpl w:val="2CFAFB82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421F8"/>
    <w:multiLevelType w:val="hybridMultilevel"/>
    <w:tmpl w:val="1BD64FA2"/>
    <w:lvl w:ilvl="0" w:tplc="1D4685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E74CF4"/>
    <w:multiLevelType w:val="hybridMultilevel"/>
    <w:tmpl w:val="622CC19C"/>
    <w:lvl w:ilvl="0" w:tplc="226CE15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25B6B"/>
    <w:multiLevelType w:val="hybridMultilevel"/>
    <w:tmpl w:val="2B4EC5F4"/>
    <w:lvl w:ilvl="0" w:tplc="A224C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405B4"/>
    <w:multiLevelType w:val="hybridMultilevel"/>
    <w:tmpl w:val="48DCA2AE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32AB5"/>
    <w:multiLevelType w:val="hybridMultilevel"/>
    <w:tmpl w:val="841CAE04"/>
    <w:lvl w:ilvl="0" w:tplc="8F8C8B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BB09C4"/>
    <w:multiLevelType w:val="hybridMultilevel"/>
    <w:tmpl w:val="CCD46868"/>
    <w:lvl w:ilvl="0" w:tplc="04180011">
      <w:start w:val="1"/>
      <w:numFmt w:val="decimal"/>
      <w:lvlText w:val="%1)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B02F2"/>
    <w:multiLevelType w:val="hybridMultilevel"/>
    <w:tmpl w:val="0E6CC6E4"/>
    <w:lvl w:ilvl="0" w:tplc="9A08C07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46A6"/>
    <w:multiLevelType w:val="multilevel"/>
    <w:tmpl w:val="67C08D58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  <w:bCs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1800"/>
      </w:pPr>
      <w:rPr>
        <w:rFonts w:hint="default"/>
      </w:rPr>
    </w:lvl>
  </w:abstractNum>
  <w:abstractNum w:abstractNumId="13" w15:restartNumberingAfterBreak="0">
    <w:nsid w:val="28A62FB1"/>
    <w:multiLevelType w:val="hybridMultilevel"/>
    <w:tmpl w:val="21647F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91F44"/>
    <w:multiLevelType w:val="hybridMultilevel"/>
    <w:tmpl w:val="B3320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104"/>
    <w:multiLevelType w:val="hybridMultilevel"/>
    <w:tmpl w:val="552C0908"/>
    <w:lvl w:ilvl="0" w:tplc="FD2E561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33EC3"/>
    <w:multiLevelType w:val="multilevel"/>
    <w:tmpl w:val="F10C11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A625DC"/>
    <w:multiLevelType w:val="hybridMultilevel"/>
    <w:tmpl w:val="BD62DC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A4AF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A465F"/>
    <w:multiLevelType w:val="hybridMultilevel"/>
    <w:tmpl w:val="C7D2623A"/>
    <w:lvl w:ilvl="0" w:tplc="B4A4AF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372D6C"/>
    <w:multiLevelType w:val="hybridMultilevel"/>
    <w:tmpl w:val="2D08FE2A"/>
    <w:lvl w:ilvl="0" w:tplc="42A40AB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BF1690"/>
    <w:multiLevelType w:val="hybridMultilevel"/>
    <w:tmpl w:val="C1148FDE"/>
    <w:lvl w:ilvl="0" w:tplc="5E10E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113E86"/>
    <w:multiLevelType w:val="hybridMultilevel"/>
    <w:tmpl w:val="0DD4C268"/>
    <w:lvl w:ilvl="0" w:tplc="A8ECFEC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FB7BE7"/>
    <w:multiLevelType w:val="hybridMultilevel"/>
    <w:tmpl w:val="AE7A2CB2"/>
    <w:lvl w:ilvl="0" w:tplc="1C4840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7146AD"/>
    <w:multiLevelType w:val="hybridMultilevel"/>
    <w:tmpl w:val="60A4D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0F6293"/>
    <w:multiLevelType w:val="hybridMultilevel"/>
    <w:tmpl w:val="3364118A"/>
    <w:lvl w:ilvl="0" w:tplc="6116E89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4F67DC"/>
    <w:multiLevelType w:val="hybridMultilevel"/>
    <w:tmpl w:val="08DC4B18"/>
    <w:lvl w:ilvl="0" w:tplc="8E70E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A611B9"/>
    <w:multiLevelType w:val="hybridMultilevel"/>
    <w:tmpl w:val="284A2B66"/>
    <w:lvl w:ilvl="0" w:tplc="592683FC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40CE7061"/>
    <w:multiLevelType w:val="hybridMultilevel"/>
    <w:tmpl w:val="895C1416"/>
    <w:lvl w:ilvl="0" w:tplc="FD1CD2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A50795"/>
    <w:multiLevelType w:val="hybridMultilevel"/>
    <w:tmpl w:val="E4FAE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37EA4"/>
    <w:multiLevelType w:val="hybridMultilevel"/>
    <w:tmpl w:val="213AF9F8"/>
    <w:lvl w:ilvl="0" w:tplc="29A4001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F0375C"/>
    <w:multiLevelType w:val="hybridMultilevel"/>
    <w:tmpl w:val="EB36F700"/>
    <w:lvl w:ilvl="0" w:tplc="87042828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7C0089"/>
    <w:multiLevelType w:val="hybridMultilevel"/>
    <w:tmpl w:val="165C1292"/>
    <w:lvl w:ilvl="0" w:tplc="786EA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575C30"/>
    <w:multiLevelType w:val="hybridMultilevel"/>
    <w:tmpl w:val="72DA9428"/>
    <w:lvl w:ilvl="0" w:tplc="38489A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A2B0AB5"/>
    <w:multiLevelType w:val="hybridMultilevel"/>
    <w:tmpl w:val="742E6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E962FD"/>
    <w:multiLevelType w:val="hybridMultilevel"/>
    <w:tmpl w:val="3A402C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32793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95C63"/>
    <w:multiLevelType w:val="hybridMultilevel"/>
    <w:tmpl w:val="156066A2"/>
    <w:lvl w:ilvl="0" w:tplc="04F81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0734E5"/>
    <w:multiLevelType w:val="hybridMultilevel"/>
    <w:tmpl w:val="38428FD6"/>
    <w:lvl w:ilvl="0" w:tplc="68C844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C5218"/>
    <w:multiLevelType w:val="hybridMultilevel"/>
    <w:tmpl w:val="C96CD0DE"/>
    <w:lvl w:ilvl="0" w:tplc="D2327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1C205D"/>
    <w:multiLevelType w:val="hybridMultilevel"/>
    <w:tmpl w:val="A7FE64C0"/>
    <w:lvl w:ilvl="0" w:tplc="F452ADB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C32C52"/>
    <w:multiLevelType w:val="hybridMultilevel"/>
    <w:tmpl w:val="5F4E9E06"/>
    <w:lvl w:ilvl="0" w:tplc="F544D91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685D02"/>
    <w:multiLevelType w:val="hybridMultilevel"/>
    <w:tmpl w:val="DDFEEB3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070F3C"/>
    <w:multiLevelType w:val="hybridMultilevel"/>
    <w:tmpl w:val="369661B8"/>
    <w:lvl w:ilvl="0" w:tplc="7D524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6D34FE"/>
    <w:multiLevelType w:val="hybridMultilevel"/>
    <w:tmpl w:val="309C3C0A"/>
    <w:lvl w:ilvl="0" w:tplc="BD5626E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49C1E06"/>
    <w:multiLevelType w:val="hybridMultilevel"/>
    <w:tmpl w:val="3640A34E"/>
    <w:lvl w:ilvl="0" w:tplc="87F07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71A43F6"/>
    <w:multiLevelType w:val="hybridMultilevel"/>
    <w:tmpl w:val="5A863024"/>
    <w:lvl w:ilvl="0" w:tplc="4FD2C15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8E10919"/>
    <w:multiLevelType w:val="hybridMultilevel"/>
    <w:tmpl w:val="84449C78"/>
    <w:lvl w:ilvl="0" w:tplc="02E2FEE6">
      <w:start w:val="10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BC973E8"/>
    <w:multiLevelType w:val="hybridMultilevel"/>
    <w:tmpl w:val="A13CEFC4"/>
    <w:lvl w:ilvl="0" w:tplc="F92EF13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00B5F8E"/>
    <w:multiLevelType w:val="hybridMultilevel"/>
    <w:tmpl w:val="567C2E5A"/>
    <w:lvl w:ilvl="0" w:tplc="D22808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29B21E8"/>
    <w:multiLevelType w:val="hybridMultilevel"/>
    <w:tmpl w:val="CF72E04C"/>
    <w:lvl w:ilvl="0" w:tplc="6408031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33B256E"/>
    <w:multiLevelType w:val="hybridMultilevel"/>
    <w:tmpl w:val="C0088B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FC30F5"/>
    <w:multiLevelType w:val="hybridMultilevel"/>
    <w:tmpl w:val="BF2EC3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3279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13086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8C37B3"/>
    <w:multiLevelType w:val="hybridMultilevel"/>
    <w:tmpl w:val="2B721DF4"/>
    <w:lvl w:ilvl="0" w:tplc="64EAB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2061C7C"/>
    <w:multiLevelType w:val="hybridMultilevel"/>
    <w:tmpl w:val="37365F26"/>
    <w:lvl w:ilvl="0" w:tplc="0F6A9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7652164"/>
    <w:multiLevelType w:val="hybridMultilevel"/>
    <w:tmpl w:val="4210C768"/>
    <w:lvl w:ilvl="0" w:tplc="B254D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A3A540A"/>
    <w:multiLevelType w:val="hybridMultilevel"/>
    <w:tmpl w:val="33C2E4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73306"/>
    <w:multiLevelType w:val="hybridMultilevel"/>
    <w:tmpl w:val="25EC5544"/>
    <w:lvl w:ilvl="0" w:tplc="9482E99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EFB4658"/>
    <w:multiLevelType w:val="hybridMultilevel"/>
    <w:tmpl w:val="79FC2F3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053664"/>
    <w:multiLevelType w:val="hybridMultilevel"/>
    <w:tmpl w:val="E8FEF518"/>
    <w:lvl w:ilvl="0" w:tplc="5E28794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7F676140"/>
    <w:multiLevelType w:val="hybridMultilevel"/>
    <w:tmpl w:val="0F60515E"/>
    <w:lvl w:ilvl="0" w:tplc="D23279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F6B7BCA"/>
    <w:multiLevelType w:val="hybridMultilevel"/>
    <w:tmpl w:val="192E54BE"/>
    <w:lvl w:ilvl="0" w:tplc="A0F8D236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14"/>
  </w:num>
  <w:num w:numId="3">
    <w:abstractNumId w:val="43"/>
  </w:num>
  <w:num w:numId="4">
    <w:abstractNumId w:val="12"/>
  </w:num>
  <w:num w:numId="5">
    <w:abstractNumId w:val="58"/>
  </w:num>
  <w:num w:numId="6">
    <w:abstractNumId w:val="30"/>
  </w:num>
  <w:num w:numId="7">
    <w:abstractNumId w:val="55"/>
  </w:num>
  <w:num w:numId="8">
    <w:abstractNumId w:val="41"/>
  </w:num>
  <w:num w:numId="9">
    <w:abstractNumId w:val="46"/>
  </w:num>
  <w:num w:numId="10">
    <w:abstractNumId w:val="15"/>
  </w:num>
  <w:num w:numId="11">
    <w:abstractNumId w:val="6"/>
  </w:num>
  <w:num w:numId="12">
    <w:abstractNumId w:val="13"/>
  </w:num>
  <w:num w:numId="13">
    <w:abstractNumId w:val="25"/>
  </w:num>
  <w:num w:numId="14">
    <w:abstractNumId w:val="19"/>
  </w:num>
  <w:num w:numId="15">
    <w:abstractNumId w:val="27"/>
  </w:num>
  <w:num w:numId="16">
    <w:abstractNumId w:val="49"/>
  </w:num>
  <w:num w:numId="17">
    <w:abstractNumId w:val="32"/>
  </w:num>
  <w:num w:numId="18">
    <w:abstractNumId w:val="52"/>
  </w:num>
  <w:num w:numId="19">
    <w:abstractNumId w:val="33"/>
  </w:num>
  <w:num w:numId="20">
    <w:abstractNumId w:val="29"/>
  </w:num>
  <w:num w:numId="21">
    <w:abstractNumId w:val="31"/>
  </w:num>
  <w:num w:numId="22">
    <w:abstractNumId w:val="44"/>
  </w:num>
  <w:num w:numId="23">
    <w:abstractNumId w:val="57"/>
  </w:num>
  <w:num w:numId="24">
    <w:abstractNumId w:val="35"/>
  </w:num>
  <w:num w:numId="25">
    <w:abstractNumId w:val="24"/>
  </w:num>
  <w:num w:numId="26">
    <w:abstractNumId w:val="9"/>
  </w:num>
  <w:num w:numId="27">
    <w:abstractNumId w:val="45"/>
  </w:num>
  <w:num w:numId="28">
    <w:abstractNumId w:val="2"/>
  </w:num>
  <w:num w:numId="29">
    <w:abstractNumId w:val="3"/>
  </w:num>
  <w:num w:numId="30">
    <w:abstractNumId w:val="0"/>
  </w:num>
  <w:num w:numId="31">
    <w:abstractNumId w:val="22"/>
  </w:num>
  <w:num w:numId="32">
    <w:abstractNumId w:val="7"/>
  </w:num>
  <w:num w:numId="33">
    <w:abstractNumId w:val="53"/>
  </w:num>
  <w:num w:numId="34">
    <w:abstractNumId w:val="17"/>
  </w:num>
  <w:num w:numId="35">
    <w:abstractNumId w:val="23"/>
  </w:num>
  <w:num w:numId="36">
    <w:abstractNumId w:val="18"/>
  </w:num>
  <w:num w:numId="37">
    <w:abstractNumId w:val="51"/>
  </w:num>
  <w:num w:numId="38">
    <w:abstractNumId w:val="11"/>
  </w:num>
  <w:num w:numId="39">
    <w:abstractNumId w:val="48"/>
  </w:num>
  <w:num w:numId="40">
    <w:abstractNumId w:val="39"/>
  </w:num>
  <w:num w:numId="41">
    <w:abstractNumId w:val="26"/>
  </w:num>
  <w:num w:numId="42">
    <w:abstractNumId w:val="21"/>
  </w:num>
  <w:num w:numId="43">
    <w:abstractNumId w:val="16"/>
  </w:num>
  <w:num w:numId="44">
    <w:abstractNumId w:val="54"/>
  </w:num>
  <w:num w:numId="45">
    <w:abstractNumId w:val="42"/>
  </w:num>
  <w:num w:numId="46">
    <w:abstractNumId w:val="36"/>
  </w:num>
  <w:num w:numId="47">
    <w:abstractNumId w:val="5"/>
  </w:num>
  <w:num w:numId="48">
    <w:abstractNumId w:val="8"/>
  </w:num>
  <w:num w:numId="49">
    <w:abstractNumId w:val="10"/>
  </w:num>
  <w:num w:numId="50">
    <w:abstractNumId w:val="59"/>
  </w:num>
  <w:num w:numId="51">
    <w:abstractNumId w:val="34"/>
  </w:num>
  <w:num w:numId="52">
    <w:abstractNumId w:val="40"/>
  </w:num>
  <w:num w:numId="53">
    <w:abstractNumId w:val="37"/>
  </w:num>
  <w:num w:numId="54">
    <w:abstractNumId w:val="56"/>
  </w:num>
  <w:num w:numId="55">
    <w:abstractNumId w:val="1"/>
  </w:num>
  <w:num w:numId="56">
    <w:abstractNumId w:val="20"/>
  </w:num>
  <w:num w:numId="57">
    <w:abstractNumId w:val="50"/>
  </w:num>
  <w:num w:numId="58">
    <w:abstractNumId w:val="4"/>
  </w:num>
  <w:num w:numId="59">
    <w:abstractNumId w:val="47"/>
  </w:num>
  <w:num w:numId="60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EC"/>
    <w:rsid w:val="00001E72"/>
    <w:rsid w:val="00003426"/>
    <w:rsid w:val="00003CE0"/>
    <w:rsid w:val="00004687"/>
    <w:rsid w:val="00006129"/>
    <w:rsid w:val="000115E6"/>
    <w:rsid w:val="0001706E"/>
    <w:rsid w:val="00017E9A"/>
    <w:rsid w:val="00020A35"/>
    <w:rsid w:val="00021C6E"/>
    <w:rsid w:val="00022ACC"/>
    <w:rsid w:val="00023397"/>
    <w:rsid w:val="00023426"/>
    <w:rsid w:val="00023730"/>
    <w:rsid w:val="0002647C"/>
    <w:rsid w:val="00026DC0"/>
    <w:rsid w:val="00030B6D"/>
    <w:rsid w:val="0003219B"/>
    <w:rsid w:val="00033335"/>
    <w:rsid w:val="000401EE"/>
    <w:rsid w:val="0004317D"/>
    <w:rsid w:val="00043C6A"/>
    <w:rsid w:val="00044C53"/>
    <w:rsid w:val="000458A4"/>
    <w:rsid w:val="0004708D"/>
    <w:rsid w:val="00047CD2"/>
    <w:rsid w:val="00050729"/>
    <w:rsid w:val="00052FA9"/>
    <w:rsid w:val="00054A76"/>
    <w:rsid w:val="000574FA"/>
    <w:rsid w:val="000600F6"/>
    <w:rsid w:val="000614EB"/>
    <w:rsid w:val="00066FEA"/>
    <w:rsid w:val="000677AF"/>
    <w:rsid w:val="00067A4E"/>
    <w:rsid w:val="0007076A"/>
    <w:rsid w:val="0007291A"/>
    <w:rsid w:val="0007502A"/>
    <w:rsid w:val="00080E7E"/>
    <w:rsid w:val="00082CB4"/>
    <w:rsid w:val="000847AC"/>
    <w:rsid w:val="00086E2E"/>
    <w:rsid w:val="000904AA"/>
    <w:rsid w:val="00094E80"/>
    <w:rsid w:val="00094F4C"/>
    <w:rsid w:val="00096689"/>
    <w:rsid w:val="000A005A"/>
    <w:rsid w:val="000A1FB1"/>
    <w:rsid w:val="000A440D"/>
    <w:rsid w:val="000A6680"/>
    <w:rsid w:val="000A6897"/>
    <w:rsid w:val="000B1177"/>
    <w:rsid w:val="000B1209"/>
    <w:rsid w:val="000B50A6"/>
    <w:rsid w:val="000B5F2A"/>
    <w:rsid w:val="000C051B"/>
    <w:rsid w:val="000C0AA0"/>
    <w:rsid w:val="000C0FCC"/>
    <w:rsid w:val="000C17A0"/>
    <w:rsid w:val="000C1B8A"/>
    <w:rsid w:val="000C6ECB"/>
    <w:rsid w:val="000D04DE"/>
    <w:rsid w:val="000D091B"/>
    <w:rsid w:val="000D18A5"/>
    <w:rsid w:val="000D4DFF"/>
    <w:rsid w:val="000E0876"/>
    <w:rsid w:val="000E3785"/>
    <w:rsid w:val="000F031B"/>
    <w:rsid w:val="000F2A31"/>
    <w:rsid w:val="000F2CE4"/>
    <w:rsid w:val="000F3823"/>
    <w:rsid w:val="000F659C"/>
    <w:rsid w:val="000F6D8F"/>
    <w:rsid w:val="00103121"/>
    <w:rsid w:val="0010582B"/>
    <w:rsid w:val="0010607F"/>
    <w:rsid w:val="0010798A"/>
    <w:rsid w:val="00112E5D"/>
    <w:rsid w:val="0011350B"/>
    <w:rsid w:val="00113970"/>
    <w:rsid w:val="001142C2"/>
    <w:rsid w:val="0011613D"/>
    <w:rsid w:val="00117554"/>
    <w:rsid w:val="00120430"/>
    <w:rsid w:val="00123057"/>
    <w:rsid w:val="00125CC0"/>
    <w:rsid w:val="00125FF1"/>
    <w:rsid w:val="001276EB"/>
    <w:rsid w:val="00132674"/>
    <w:rsid w:val="001356AB"/>
    <w:rsid w:val="00136205"/>
    <w:rsid w:val="001372CF"/>
    <w:rsid w:val="00141966"/>
    <w:rsid w:val="00144661"/>
    <w:rsid w:val="00146044"/>
    <w:rsid w:val="0015035F"/>
    <w:rsid w:val="001505E6"/>
    <w:rsid w:val="00150FBA"/>
    <w:rsid w:val="00151AF5"/>
    <w:rsid w:val="00152159"/>
    <w:rsid w:val="0015230B"/>
    <w:rsid w:val="00153EE0"/>
    <w:rsid w:val="00154D4E"/>
    <w:rsid w:val="00154DF2"/>
    <w:rsid w:val="001555C0"/>
    <w:rsid w:val="001564BD"/>
    <w:rsid w:val="00156D8B"/>
    <w:rsid w:val="001577D6"/>
    <w:rsid w:val="00157894"/>
    <w:rsid w:val="0016040D"/>
    <w:rsid w:val="00161BEA"/>
    <w:rsid w:val="0016368B"/>
    <w:rsid w:val="00165168"/>
    <w:rsid w:val="00167D86"/>
    <w:rsid w:val="00171B28"/>
    <w:rsid w:val="001730EE"/>
    <w:rsid w:val="00174F7F"/>
    <w:rsid w:val="00176989"/>
    <w:rsid w:val="0017717A"/>
    <w:rsid w:val="001847D0"/>
    <w:rsid w:val="00186B25"/>
    <w:rsid w:val="00186F13"/>
    <w:rsid w:val="00190445"/>
    <w:rsid w:val="00193F48"/>
    <w:rsid w:val="0019478D"/>
    <w:rsid w:val="00196D23"/>
    <w:rsid w:val="001A12CF"/>
    <w:rsid w:val="001A2299"/>
    <w:rsid w:val="001A2B55"/>
    <w:rsid w:val="001B3057"/>
    <w:rsid w:val="001B3D44"/>
    <w:rsid w:val="001B509D"/>
    <w:rsid w:val="001C31BC"/>
    <w:rsid w:val="001C776D"/>
    <w:rsid w:val="001D0FB0"/>
    <w:rsid w:val="001D1668"/>
    <w:rsid w:val="001D16DB"/>
    <w:rsid w:val="001D3798"/>
    <w:rsid w:val="001D4102"/>
    <w:rsid w:val="001D4453"/>
    <w:rsid w:val="001D55A7"/>
    <w:rsid w:val="001D566D"/>
    <w:rsid w:val="001D57B0"/>
    <w:rsid w:val="001D720D"/>
    <w:rsid w:val="001D7DB2"/>
    <w:rsid w:val="001E09C4"/>
    <w:rsid w:val="001E2BFB"/>
    <w:rsid w:val="001E3791"/>
    <w:rsid w:val="002011F5"/>
    <w:rsid w:val="00203ACF"/>
    <w:rsid w:val="00203CB9"/>
    <w:rsid w:val="00204EC0"/>
    <w:rsid w:val="0020681B"/>
    <w:rsid w:val="00207DCC"/>
    <w:rsid w:val="00212354"/>
    <w:rsid w:val="002167C2"/>
    <w:rsid w:val="00216ADE"/>
    <w:rsid w:val="002214AA"/>
    <w:rsid w:val="002224FB"/>
    <w:rsid w:val="002242D7"/>
    <w:rsid w:val="00224894"/>
    <w:rsid w:val="00224F3A"/>
    <w:rsid w:val="00235D23"/>
    <w:rsid w:val="002372DB"/>
    <w:rsid w:val="00241064"/>
    <w:rsid w:val="00241467"/>
    <w:rsid w:val="00242199"/>
    <w:rsid w:val="00242AD4"/>
    <w:rsid w:val="002465DA"/>
    <w:rsid w:val="00246CF9"/>
    <w:rsid w:val="0025186F"/>
    <w:rsid w:val="00251E96"/>
    <w:rsid w:val="002526F8"/>
    <w:rsid w:val="0025339C"/>
    <w:rsid w:val="0025371C"/>
    <w:rsid w:val="00255C0E"/>
    <w:rsid w:val="00256C93"/>
    <w:rsid w:val="00263D42"/>
    <w:rsid w:val="00265D51"/>
    <w:rsid w:val="00265FD2"/>
    <w:rsid w:val="00267D5D"/>
    <w:rsid w:val="002716C0"/>
    <w:rsid w:val="002717A6"/>
    <w:rsid w:val="00272A3B"/>
    <w:rsid w:val="002735D5"/>
    <w:rsid w:val="00273D0A"/>
    <w:rsid w:val="002748D3"/>
    <w:rsid w:val="002757EB"/>
    <w:rsid w:val="00277903"/>
    <w:rsid w:val="002801F8"/>
    <w:rsid w:val="00281440"/>
    <w:rsid w:val="00282C77"/>
    <w:rsid w:val="00283B63"/>
    <w:rsid w:val="00283F15"/>
    <w:rsid w:val="00286F1C"/>
    <w:rsid w:val="00287DB0"/>
    <w:rsid w:val="00290F21"/>
    <w:rsid w:val="0029101E"/>
    <w:rsid w:val="002934FC"/>
    <w:rsid w:val="00296F31"/>
    <w:rsid w:val="002A0902"/>
    <w:rsid w:val="002A1697"/>
    <w:rsid w:val="002A17AB"/>
    <w:rsid w:val="002A1961"/>
    <w:rsid w:val="002A25AF"/>
    <w:rsid w:val="002A619A"/>
    <w:rsid w:val="002B4D32"/>
    <w:rsid w:val="002B5056"/>
    <w:rsid w:val="002C1C0A"/>
    <w:rsid w:val="002C241A"/>
    <w:rsid w:val="002C3191"/>
    <w:rsid w:val="002C5E6E"/>
    <w:rsid w:val="002D18D4"/>
    <w:rsid w:val="002D59C9"/>
    <w:rsid w:val="002D5DC2"/>
    <w:rsid w:val="002D62BE"/>
    <w:rsid w:val="002D65F1"/>
    <w:rsid w:val="002E008C"/>
    <w:rsid w:val="002E1923"/>
    <w:rsid w:val="002E2FB7"/>
    <w:rsid w:val="002E38C5"/>
    <w:rsid w:val="002E64DF"/>
    <w:rsid w:val="002F1744"/>
    <w:rsid w:val="002F5EC4"/>
    <w:rsid w:val="00300064"/>
    <w:rsid w:val="00300229"/>
    <w:rsid w:val="00303AC1"/>
    <w:rsid w:val="00306D38"/>
    <w:rsid w:val="0031096E"/>
    <w:rsid w:val="00311F36"/>
    <w:rsid w:val="00313421"/>
    <w:rsid w:val="00314C13"/>
    <w:rsid w:val="00315AF5"/>
    <w:rsid w:val="003160DF"/>
    <w:rsid w:val="003172D7"/>
    <w:rsid w:val="00320857"/>
    <w:rsid w:val="0032124A"/>
    <w:rsid w:val="0032197C"/>
    <w:rsid w:val="00323604"/>
    <w:rsid w:val="00324113"/>
    <w:rsid w:val="0032564B"/>
    <w:rsid w:val="003264C9"/>
    <w:rsid w:val="00326CA9"/>
    <w:rsid w:val="00331402"/>
    <w:rsid w:val="00331709"/>
    <w:rsid w:val="003338A3"/>
    <w:rsid w:val="003378D9"/>
    <w:rsid w:val="00341561"/>
    <w:rsid w:val="0034400A"/>
    <w:rsid w:val="00346C74"/>
    <w:rsid w:val="00347EFF"/>
    <w:rsid w:val="003522C0"/>
    <w:rsid w:val="00357AF0"/>
    <w:rsid w:val="003604BA"/>
    <w:rsid w:val="00363DD5"/>
    <w:rsid w:val="00364E23"/>
    <w:rsid w:val="0036792D"/>
    <w:rsid w:val="003706FB"/>
    <w:rsid w:val="003754A1"/>
    <w:rsid w:val="003762D9"/>
    <w:rsid w:val="00377CF8"/>
    <w:rsid w:val="00380158"/>
    <w:rsid w:val="003806E0"/>
    <w:rsid w:val="00381A2D"/>
    <w:rsid w:val="00382048"/>
    <w:rsid w:val="00383DD6"/>
    <w:rsid w:val="003848C1"/>
    <w:rsid w:val="00390976"/>
    <w:rsid w:val="0039182D"/>
    <w:rsid w:val="00395210"/>
    <w:rsid w:val="00395DED"/>
    <w:rsid w:val="003A170D"/>
    <w:rsid w:val="003A19A6"/>
    <w:rsid w:val="003A3FFE"/>
    <w:rsid w:val="003A551F"/>
    <w:rsid w:val="003B10A0"/>
    <w:rsid w:val="003B4C81"/>
    <w:rsid w:val="003B7F4F"/>
    <w:rsid w:val="003C0BB5"/>
    <w:rsid w:val="003C15DE"/>
    <w:rsid w:val="003C19A3"/>
    <w:rsid w:val="003C1AAD"/>
    <w:rsid w:val="003C3796"/>
    <w:rsid w:val="003C4086"/>
    <w:rsid w:val="003C446C"/>
    <w:rsid w:val="003C4FE9"/>
    <w:rsid w:val="003C6B19"/>
    <w:rsid w:val="003D00BB"/>
    <w:rsid w:val="003D2D13"/>
    <w:rsid w:val="003E5D82"/>
    <w:rsid w:val="003E6A34"/>
    <w:rsid w:val="003E7B66"/>
    <w:rsid w:val="003F078C"/>
    <w:rsid w:val="003F171B"/>
    <w:rsid w:val="003F2668"/>
    <w:rsid w:val="003F6644"/>
    <w:rsid w:val="003F7708"/>
    <w:rsid w:val="003F7987"/>
    <w:rsid w:val="00401AD4"/>
    <w:rsid w:val="004020E7"/>
    <w:rsid w:val="004041B4"/>
    <w:rsid w:val="00407A76"/>
    <w:rsid w:val="00410161"/>
    <w:rsid w:val="00410A9A"/>
    <w:rsid w:val="004120B8"/>
    <w:rsid w:val="00414FB0"/>
    <w:rsid w:val="004153ED"/>
    <w:rsid w:val="004156A3"/>
    <w:rsid w:val="00416FCF"/>
    <w:rsid w:val="00424522"/>
    <w:rsid w:val="00425441"/>
    <w:rsid w:val="00425B96"/>
    <w:rsid w:val="004273DE"/>
    <w:rsid w:val="00432560"/>
    <w:rsid w:val="004370C6"/>
    <w:rsid w:val="00437207"/>
    <w:rsid w:val="0043792B"/>
    <w:rsid w:val="00441BCB"/>
    <w:rsid w:val="00441E32"/>
    <w:rsid w:val="00442F71"/>
    <w:rsid w:val="00443D93"/>
    <w:rsid w:val="004460BD"/>
    <w:rsid w:val="00446E77"/>
    <w:rsid w:val="00450FAC"/>
    <w:rsid w:val="00453D64"/>
    <w:rsid w:val="00454539"/>
    <w:rsid w:val="004614B1"/>
    <w:rsid w:val="00461680"/>
    <w:rsid w:val="00461952"/>
    <w:rsid w:val="00462715"/>
    <w:rsid w:val="004648D4"/>
    <w:rsid w:val="0046490A"/>
    <w:rsid w:val="00470372"/>
    <w:rsid w:val="00472C39"/>
    <w:rsid w:val="0047395C"/>
    <w:rsid w:val="0047528F"/>
    <w:rsid w:val="00476D73"/>
    <w:rsid w:val="004800FD"/>
    <w:rsid w:val="00481432"/>
    <w:rsid w:val="0048327E"/>
    <w:rsid w:val="00486F27"/>
    <w:rsid w:val="00491C48"/>
    <w:rsid w:val="00491E45"/>
    <w:rsid w:val="00493CE2"/>
    <w:rsid w:val="0049591D"/>
    <w:rsid w:val="004962C3"/>
    <w:rsid w:val="004978C4"/>
    <w:rsid w:val="004A12B9"/>
    <w:rsid w:val="004A2BE5"/>
    <w:rsid w:val="004B2376"/>
    <w:rsid w:val="004B64C9"/>
    <w:rsid w:val="004C2402"/>
    <w:rsid w:val="004C5B39"/>
    <w:rsid w:val="004C5CFA"/>
    <w:rsid w:val="004C6C08"/>
    <w:rsid w:val="004C6CDE"/>
    <w:rsid w:val="004D22C5"/>
    <w:rsid w:val="004D2EB6"/>
    <w:rsid w:val="004E1822"/>
    <w:rsid w:val="004E2FA9"/>
    <w:rsid w:val="004E5171"/>
    <w:rsid w:val="004E5EF8"/>
    <w:rsid w:val="004E7FEC"/>
    <w:rsid w:val="004F1378"/>
    <w:rsid w:val="004F432E"/>
    <w:rsid w:val="004F56C9"/>
    <w:rsid w:val="004F6A64"/>
    <w:rsid w:val="0050143B"/>
    <w:rsid w:val="005068BE"/>
    <w:rsid w:val="00506A9A"/>
    <w:rsid w:val="005100C3"/>
    <w:rsid w:val="0051127B"/>
    <w:rsid w:val="0051129A"/>
    <w:rsid w:val="005128B8"/>
    <w:rsid w:val="00514C71"/>
    <w:rsid w:val="00520D13"/>
    <w:rsid w:val="00520FFD"/>
    <w:rsid w:val="00521106"/>
    <w:rsid w:val="0052281A"/>
    <w:rsid w:val="00522F5D"/>
    <w:rsid w:val="005243BA"/>
    <w:rsid w:val="00525628"/>
    <w:rsid w:val="00527EAF"/>
    <w:rsid w:val="0053047F"/>
    <w:rsid w:val="005306D0"/>
    <w:rsid w:val="00532251"/>
    <w:rsid w:val="00533E01"/>
    <w:rsid w:val="005347DA"/>
    <w:rsid w:val="005372CA"/>
    <w:rsid w:val="0054035C"/>
    <w:rsid w:val="00541421"/>
    <w:rsid w:val="00546477"/>
    <w:rsid w:val="005506E7"/>
    <w:rsid w:val="00553764"/>
    <w:rsid w:val="00554403"/>
    <w:rsid w:val="005569FE"/>
    <w:rsid w:val="00557137"/>
    <w:rsid w:val="005577DE"/>
    <w:rsid w:val="00560769"/>
    <w:rsid w:val="00561DE9"/>
    <w:rsid w:val="005620D0"/>
    <w:rsid w:val="0056693D"/>
    <w:rsid w:val="00567024"/>
    <w:rsid w:val="00571200"/>
    <w:rsid w:val="005713C7"/>
    <w:rsid w:val="00574D7D"/>
    <w:rsid w:val="005817BA"/>
    <w:rsid w:val="00581B08"/>
    <w:rsid w:val="005835CB"/>
    <w:rsid w:val="00585B1A"/>
    <w:rsid w:val="00587127"/>
    <w:rsid w:val="00587F0F"/>
    <w:rsid w:val="00591218"/>
    <w:rsid w:val="00593991"/>
    <w:rsid w:val="00594386"/>
    <w:rsid w:val="00595532"/>
    <w:rsid w:val="005961D7"/>
    <w:rsid w:val="00596449"/>
    <w:rsid w:val="0059694D"/>
    <w:rsid w:val="00597AE5"/>
    <w:rsid w:val="00597DCC"/>
    <w:rsid w:val="005A57E4"/>
    <w:rsid w:val="005A7E2A"/>
    <w:rsid w:val="005B0089"/>
    <w:rsid w:val="005B1946"/>
    <w:rsid w:val="005B1C12"/>
    <w:rsid w:val="005B1D33"/>
    <w:rsid w:val="005B21E7"/>
    <w:rsid w:val="005B46BF"/>
    <w:rsid w:val="005B4F21"/>
    <w:rsid w:val="005C225A"/>
    <w:rsid w:val="005C2950"/>
    <w:rsid w:val="005C393E"/>
    <w:rsid w:val="005C3FDC"/>
    <w:rsid w:val="005C593E"/>
    <w:rsid w:val="005C7009"/>
    <w:rsid w:val="005C788F"/>
    <w:rsid w:val="005C7AB7"/>
    <w:rsid w:val="005D0036"/>
    <w:rsid w:val="005D5EC9"/>
    <w:rsid w:val="005D618D"/>
    <w:rsid w:val="005D6B2F"/>
    <w:rsid w:val="005E13E2"/>
    <w:rsid w:val="005E3BEC"/>
    <w:rsid w:val="005E59FB"/>
    <w:rsid w:val="005F0BF0"/>
    <w:rsid w:val="005F3FDF"/>
    <w:rsid w:val="005F4D1A"/>
    <w:rsid w:val="00602151"/>
    <w:rsid w:val="006024FE"/>
    <w:rsid w:val="00604575"/>
    <w:rsid w:val="006052FA"/>
    <w:rsid w:val="0061141D"/>
    <w:rsid w:val="00612AC8"/>
    <w:rsid w:val="00613139"/>
    <w:rsid w:val="006132CF"/>
    <w:rsid w:val="00613562"/>
    <w:rsid w:val="006136BB"/>
    <w:rsid w:val="00614A4A"/>
    <w:rsid w:val="00614DC0"/>
    <w:rsid w:val="0061556B"/>
    <w:rsid w:val="0061586B"/>
    <w:rsid w:val="00616302"/>
    <w:rsid w:val="00616B7C"/>
    <w:rsid w:val="0062038E"/>
    <w:rsid w:val="00620E75"/>
    <w:rsid w:val="006223D1"/>
    <w:rsid w:val="00622468"/>
    <w:rsid w:val="00627A40"/>
    <w:rsid w:val="00630719"/>
    <w:rsid w:val="006329C0"/>
    <w:rsid w:val="00632C58"/>
    <w:rsid w:val="00632E18"/>
    <w:rsid w:val="00641139"/>
    <w:rsid w:val="00642879"/>
    <w:rsid w:val="006431C4"/>
    <w:rsid w:val="0064375E"/>
    <w:rsid w:val="00645F98"/>
    <w:rsid w:val="00647BBA"/>
    <w:rsid w:val="00650467"/>
    <w:rsid w:val="00652BEB"/>
    <w:rsid w:val="0065382C"/>
    <w:rsid w:val="0065490D"/>
    <w:rsid w:val="006549B0"/>
    <w:rsid w:val="00655622"/>
    <w:rsid w:val="00656187"/>
    <w:rsid w:val="006622BC"/>
    <w:rsid w:val="00662A01"/>
    <w:rsid w:val="006700CD"/>
    <w:rsid w:val="00671731"/>
    <w:rsid w:val="00674B6E"/>
    <w:rsid w:val="006758B1"/>
    <w:rsid w:val="00676C53"/>
    <w:rsid w:val="0068033B"/>
    <w:rsid w:val="00690904"/>
    <w:rsid w:val="00692235"/>
    <w:rsid w:val="00692EBC"/>
    <w:rsid w:val="00693DBC"/>
    <w:rsid w:val="00694B77"/>
    <w:rsid w:val="00696362"/>
    <w:rsid w:val="006B0D2E"/>
    <w:rsid w:val="006B2914"/>
    <w:rsid w:val="006B36E1"/>
    <w:rsid w:val="006C1B28"/>
    <w:rsid w:val="006C1DFF"/>
    <w:rsid w:val="006C24CB"/>
    <w:rsid w:val="006C3E38"/>
    <w:rsid w:val="006C55ED"/>
    <w:rsid w:val="006C5625"/>
    <w:rsid w:val="006C66E6"/>
    <w:rsid w:val="006C6B88"/>
    <w:rsid w:val="006C713C"/>
    <w:rsid w:val="006C723F"/>
    <w:rsid w:val="006D240A"/>
    <w:rsid w:val="006D60B6"/>
    <w:rsid w:val="006D7CF3"/>
    <w:rsid w:val="006E0C8E"/>
    <w:rsid w:val="006E0F55"/>
    <w:rsid w:val="006E19DB"/>
    <w:rsid w:val="006E24E3"/>
    <w:rsid w:val="006E280F"/>
    <w:rsid w:val="006E28A8"/>
    <w:rsid w:val="006E594C"/>
    <w:rsid w:val="006E6588"/>
    <w:rsid w:val="006E6BFE"/>
    <w:rsid w:val="006F0DF2"/>
    <w:rsid w:val="006F3EAA"/>
    <w:rsid w:val="006F70A5"/>
    <w:rsid w:val="00700342"/>
    <w:rsid w:val="0070644B"/>
    <w:rsid w:val="00713145"/>
    <w:rsid w:val="00713C2E"/>
    <w:rsid w:val="007145B2"/>
    <w:rsid w:val="00715556"/>
    <w:rsid w:val="00716015"/>
    <w:rsid w:val="00717C20"/>
    <w:rsid w:val="0072130B"/>
    <w:rsid w:val="007254FF"/>
    <w:rsid w:val="00730428"/>
    <w:rsid w:val="007307EC"/>
    <w:rsid w:val="0073140F"/>
    <w:rsid w:val="00731D6C"/>
    <w:rsid w:val="00735130"/>
    <w:rsid w:val="007401AF"/>
    <w:rsid w:val="007441E7"/>
    <w:rsid w:val="00744E4F"/>
    <w:rsid w:val="00745872"/>
    <w:rsid w:val="00745B92"/>
    <w:rsid w:val="00745E2E"/>
    <w:rsid w:val="0074650C"/>
    <w:rsid w:val="00746C48"/>
    <w:rsid w:val="007523EC"/>
    <w:rsid w:val="00752549"/>
    <w:rsid w:val="00753C51"/>
    <w:rsid w:val="00756425"/>
    <w:rsid w:val="0075646C"/>
    <w:rsid w:val="00756A6D"/>
    <w:rsid w:val="00756DAB"/>
    <w:rsid w:val="00763838"/>
    <w:rsid w:val="00764CE0"/>
    <w:rsid w:val="00766269"/>
    <w:rsid w:val="00770075"/>
    <w:rsid w:val="007700A4"/>
    <w:rsid w:val="007769E0"/>
    <w:rsid w:val="0078139F"/>
    <w:rsid w:val="00781A0B"/>
    <w:rsid w:val="00782CFB"/>
    <w:rsid w:val="007864FC"/>
    <w:rsid w:val="007872E7"/>
    <w:rsid w:val="00792BF7"/>
    <w:rsid w:val="007942C7"/>
    <w:rsid w:val="00795C87"/>
    <w:rsid w:val="007A3A93"/>
    <w:rsid w:val="007A6DD5"/>
    <w:rsid w:val="007A733C"/>
    <w:rsid w:val="007B24CF"/>
    <w:rsid w:val="007B3263"/>
    <w:rsid w:val="007C06D3"/>
    <w:rsid w:val="007C5C35"/>
    <w:rsid w:val="007D073B"/>
    <w:rsid w:val="007D228E"/>
    <w:rsid w:val="007D3DC3"/>
    <w:rsid w:val="007D56D9"/>
    <w:rsid w:val="007D5D7A"/>
    <w:rsid w:val="007D68A3"/>
    <w:rsid w:val="007D7D35"/>
    <w:rsid w:val="007E0F84"/>
    <w:rsid w:val="007E3F26"/>
    <w:rsid w:val="007E4CE1"/>
    <w:rsid w:val="007E60F3"/>
    <w:rsid w:val="007F022B"/>
    <w:rsid w:val="007F07FB"/>
    <w:rsid w:val="007F35BE"/>
    <w:rsid w:val="007F3AD1"/>
    <w:rsid w:val="007F6D10"/>
    <w:rsid w:val="007F7324"/>
    <w:rsid w:val="0080097B"/>
    <w:rsid w:val="008015B1"/>
    <w:rsid w:val="00802BA5"/>
    <w:rsid w:val="00803FC3"/>
    <w:rsid w:val="00805F2C"/>
    <w:rsid w:val="00806179"/>
    <w:rsid w:val="00812838"/>
    <w:rsid w:val="00816FC2"/>
    <w:rsid w:val="00823BDF"/>
    <w:rsid w:val="00827EDC"/>
    <w:rsid w:val="00830C8B"/>
    <w:rsid w:val="00831919"/>
    <w:rsid w:val="00837F37"/>
    <w:rsid w:val="008409FB"/>
    <w:rsid w:val="00840AC2"/>
    <w:rsid w:val="00842AF2"/>
    <w:rsid w:val="008430CC"/>
    <w:rsid w:val="0084343E"/>
    <w:rsid w:val="00843657"/>
    <w:rsid w:val="00844C61"/>
    <w:rsid w:val="00845F71"/>
    <w:rsid w:val="008469E9"/>
    <w:rsid w:val="008478C3"/>
    <w:rsid w:val="00852BD5"/>
    <w:rsid w:val="00861E65"/>
    <w:rsid w:val="0086309A"/>
    <w:rsid w:val="00865B2C"/>
    <w:rsid w:val="0086644A"/>
    <w:rsid w:val="008667D8"/>
    <w:rsid w:val="00867D95"/>
    <w:rsid w:val="008723F0"/>
    <w:rsid w:val="008743F4"/>
    <w:rsid w:val="00874EBF"/>
    <w:rsid w:val="00875B84"/>
    <w:rsid w:val="00876036"/>
    <w:rsid w:val="00885D83"/>
    <w:rsid w:val="0088646E"/>
    <w:rsid w:val="00887955"/>
    <w:rsid w:val="00891A05"/>
    <w:rsid w:val="00892125"/>
    <w:rsid w:val="00897531"/>
    <w:rsid w:val="008A110B"/>
    <w:rsid w:val="008A1F37"/>
    <w:rsid w:val="008A45B2"/>
    <w:rsid w:val="008A465E"/>
    <w:rsid w:val="008A5E3A"/>
    <w:rsid w:val="008A6798"/>
    <w:rsid w:val="008A703C"/>
    <w:rsid w:val="008A762A"/>
    <w:rsid w:val="008B0110"/>
    <w:rsid w:val="008B305B"/>
    <w:rsid w:val="008B3DE5"/>
    <w:rsid w:val="008B3DF1"/>
    <w:rsid w:val="008B6710"/>
    <w:rsid w:val="008C4B0B"/>
    <w:rsid w:val="008C674E"/>
    <w:rsid w:val="008C7C1E"/>
    <w:rsid w:val="008D0A2F"/>
    <w:rsid w:val="008D3784"/>
    <w:rsid w:val="008D5B3C"/>
    <w:rsid w:val="008D5D02"/>
    <w:rsid w:val="008D5F41"/>
    <w:rsid w:val="008D7DA9"/>
    <w:rsid w:val="008E248F"/>
    <w:rsid w:val="008E48AB"/>
    <w:rsid w:val="008E5BA8"/>
    <w:rsid w:val="008E68A4"/>
    <w:rsid w:val="008F209C"/>
    <w:rsid w:val="008F3323"/>
    <w:rsid w:val="008F46AC"/>
    <w:rsid w:val="008F4982"/>
    <w:rsid w:val="00900D8D"/>
    <w:rsid w:val="009024FB"/>
    <w:rsid w:val="00905DA1"/>
    <w:rsid w:val="009079D5"/>
    <w:rsid w:val="00912A10"/>
    <w:rsid w:val="0091582C"/>
    <w:rsid w:val="00920B7A"/>
    <w:rsid w:val="0092536C"/>
    <w:rsid w:val="009276DD"/>
    <w:rsid w:val="009337DC"/>
    <w:rsid w:val="00935301"/>
    <w:rsid w:val="00935DCE"/>
    <w:rsid w:val="009413E7"/>
    <w:rsid w:val="00945931"/>
    <w:rsid w:val="00945E52"/>
    <w:rsid w:val="00946920"/>
    <w:rsid w:val="00946A14"/>
    <w:rsid w:val="0094760E"/>
    <w:rsid w:val="0095066D"/>
    <w:rsid w:val="0095491D"/>
    <w:rsid w:val="009550EC"/>
    <w:rsid w:val="00955D7E"/>
    <w:rsid w:val="00961AE8"/>
    <w:rsid w:val="00961C4D"/>
    <w:rsid w:val="00962E1F"/>
    <w:rsid w:val="009630C1"/>
    <w:rsid w:val="00963BD8"/>
    <w:rsid w:val="00967F43"/>
    <w:rsid w:val="00983B70"/>
    <w:rsid w:val="00983E68"/>
    <w:rsid w:val="009864FE"/>
    <w:rsid w:val="00987B95"/>
    <w:rsid w:val="00992989"/>
    <w:rsid w:val="0099488C"/>
    <w:rsid w:val="00995398"/>
    <w:rsid w:val="00995847"/>
    <w:rsid w:val="009A0C2C"/>
    <w:rsid w:val="009A2FA4"/>
    <w:rsid w:val="009A5C4C"/>
    <w:rsid w:val="009A5CA4"/>
    <w:rsid w:val="009A7063"/>
    <w:rsid w:val="009B01B4"/>
    <w:rsid w:val="009B047F"/>
    <w:rsid w:val="009B14D8"/>
    <w:rsid w:val="009B2046"/>
    <w:rsid w:val="009B39A7"/>
    <w:rsid w:val="009B3C50"/>
    <w:rsid w:val="009B4953"/>
    <w:rsid w:val="009C07D9"/>
    <w:rsid w:val="009C08EA"/>
    <w:rsid w:val="009C1686"/>
    <w:rsid w:val="009C2D54"/>
    <w:rsid w:val="009C3056"/>
    <w:rsid w:val="009C3270"/>
    <w:rsid w:val="009C4D8D"/>
    <w:rsid w:val="009C5122"/>
    <w:rsid w:val="009C5F33"/>
    <w:rsid w:val="009D05F8"/>
    <w:rsid w:val="009D5425"/>
    <w:rsid w:val="009D574D"/>
    <w:rsid w:val="009D5ACD"/>
    <w:rsid w:val="009E00C9"/>
    <w:rsid w:val="009E0A84"/>
    <w:rsid w:val="009E2790"/>
    <w:rsid w:val="009E6047"/>
    <w:rsid w:val="009F1432"/>
    <w:rsid w:val="009F1CDB"/>
    <w:rsid w:val="009F5DE0"/>
    <w:rsid w:val="00A0140B"/>
    <w:rsid w:val="00A036AF"/>
    <w:rsid w:val="00A05200"/>
    <w:rsid w:val="00A0621C"/>
    <w:rsid w:val="00A0689C"/>
    <w:rsid w:val="00A078A4"/>
    <w:rsid w:val="00A079E3"/>
    <w:rsid w:val="00A11CE4"/>
    <w:rsid w:val="00A13EF4"/>
    <w:rsid w:val="00A14F4C"/>
    <w:rsid w:val="00A14F86"/>
    <w:rsid w:val="00A15CFE"/>
    <w:rsid w:val="00A161F6"/>
    <w:rsid w:val="00A16751"/>
    <w:rsid w:val="00A17A31"/>
    <w:rsid w:val="00A21852"/>
    <w:rsid w:val="00A25625"/>
    <w:rsid w:val="00A279FF"/>
    <w:rsid w:val="00A30E01"/>
    <w:rsid w:val="00A31A28"/>
    <w:rsid w:val="00A32033"/>
    <w:rsid w:val="00A32E18"/>
    <w:rsid w:val="00A32E7C"/>
    <w:rsid w:val="00A340B4"/>
    <w:rsid w:val="00A35A35"/>
    <w:rsid w:val="00A37880"/>
    <w:rsid w:val="00A43F87"/>
    <w:rsid w:val="00A52761"/>
    <w:rsid w:val="00A52A60"/>
    <w:rsid w:val="00A52F90"/>
    <w:rsid w:val="00A55B98"/>
    <w:rsid w:val="00A604F1"/>
    <w:rsid w:val="00A61269"/>
    <w:rsid w:val="00A66313"/>
    <w:rsid w:val="00A70054"/>
    <w:rsid w:val="00A7040B"/>
    <w:rsid w:val="00A71265"/>
    <w:rsid w:val="00A728CC"/>
    <w:rsid w:val="00A72A41"/>
    <w:rsid w:val="00A81021"/>
    <w:rsid w:val="00A81F67"/>
    <w:rsid w:val="00A83FAE"/>
    <w:rsid w:val="00A87A0F"/>
    <w:rsid w:val="00A87DBE"/>
    <w:rsid w:val="00A94678"/>
    <w:rsid w:val="00A94FF7"/>
    <w:rsid w:val="00A95B20"/>
    <w:rsid w:val="00A963C2"/>
    <w:rsid w:val="00A97635"/>
    <w:rsid w:val="00AA259E"/>
    <w:rsid w:val="00AA66FB"/>
    <w:rsid w:val="00AA6A4E"/>
    <w:rsid w:val="00AB19CB"/>
    <w:rsid w:val="00AB336E"/>
    <w:rsid w:val="00AB387F"/>
    <w:rsid w:val="00AB7DD2"/>
    <w:rsid w:val="00AC2BFB"/>
    <w:rsid w:val="00AC4888"/>
    <w:rsid w:val="00AC5C6D"/>
    <w:rsid w:val="00AD0039"/>
    <w:rsid w:val="00AD06C2"/>
    <w:rsid w:val="00AD1AAD"/>
    <w:rsid w:val="00AD1FCF"/>
    <w:rsid w:val="00AD2244"/>
    <w:rsid w:val="00AD3376"/>
    <w:rsid w:val="00AD4561"/>
    <w:rsid w:val="00AD5333"/>
    <w:rsid w:val="00AD6E98"/>
    <w:rsid w:val="00AE0D01"/>
    <w:rsid w:val="00AE1181"/>
    <w:rsid w:val="00AE6C43"/>
    <w:rsid w:val="00AF1590"/>
    <w:rsid w:val="00AF1F7C"/>
    <w:rsid w:val="00AF2511"/>
    <w:rsid w:val="00AF43A5"/>
    <w:rsid w:val="00AF616A"/>
    <w:rsid w:val="00AF6285"/>
    <w:rsid w:val="00B000CD"/>
    <w:rsid w:val="00B01B81"/>
    <w:rsid w:val="00B03EC7"/>
    <w:rsid w:val="00B06B78"/>
    <w:rsid w:val="00B1210C"/>
    <w:rsid w:val="00B1264C"/>
    <w:rsid w:val="00B129B9"/>
    <w:rsid w:val="00B145D0"/>
    <w:rsid w:val="00B14A10"/>
    <w:rsid w:val="00B21B2F"/>
    <w:rsid w:val="00B24875"/>
    <w:rsid w:val="00B259D3"/>
    <w:rsid w:val="00B26625"/>
    <w:rsid w:val="00B26D7A"/>
    <w:rsid w:val="00B30CE2"/>
    <w:rsid w:val="00B31AF0"/>
    <w:rsid w:val="00B33AE2"/>
    <w:rsid w:val="00B44FE9"/>
    <w:rsid w:val="00B450CB"/>
    <w:rsid w:val="00B4766B"/>
    <w:rsid w:val="00B513EA"/>
    <w:rsid w:val="00B5734B"/>
    <w:rsid w:val="00B57F19"/>
    <w:rsid w:val="00B6063B"/>
    <w:rsid w:val="00B60C25"/>
    <w:rsid w:val="00B61394"/>
    <w:rsid w:val="00B64F79"/>
    <w:rsid w:val="00B654A7"/>
    <w:rsid w:val="00B659E5"/>
    <w:rsid w:val="00B65A2C"/>
    <w:rsid w:val="00B71F13"/>
    <w:rsid w:val="00B72667"/>
    <w:rsid w:val="00B73132"/>
    <w:rsid w:val="00B75122"/>
    <w:rsid w:val="00B7517D"/>
    <w:rsid w:val="00B77EC3"/>
    <w:rsid w:val="00B82A1F"/>
    <w:rsid w:val="00B84197"/>
    <w:rsid w:val="00B8475B"/>
    <w:rsid w:val="00B92251"/>
    <w:rsid w:val="00B927E1"/>
    <w:rsid w:val="00B92E86"/>
    <w:rsid w:val="00B9442A"/>
    <w:rsid w:val="00B97392"/>
    <w:rsid w:val="00BA2248"/>
    <w:rsid w:val="00BA7D23"/>
    <w:rsid w:val="00BB0236"/>
    <w:rsid w:val="00BB07FC"/>
    <w:rsid w:val="00BB148D"/>
    <w:rsid w:val="00BB17FB"/>
    <w:rsid w:val="00BB3F65"/>
    <w:rsid w:val="00BB4F22"/>
    <w:rsid w:val="00BB65B2"/>
    <w:rsid w:val="00BC701C"/>
    <w:rsid w:val="00BC798F"/>
    <w:rsid w:val="00BD7723"/>
    <w:rsid w:val="00BE253D"/>
    <w:rsid w:val="00BE2831"/>
    <w:rsid w:val="00BE3F6A"/>
    <w:rsid w:val="00BE6B23"/>
    <w:rsid w:val="00BF1DEB"/>
    <w:rsid w:val="00BF2080"/>
    <w:rsid w:val="00BF3A6F"/>
    <w:rsid w:val="00BF4251"/>
    <w:rsid w:val="00BF49B0"/>
    <w:rsid w:val="00BF49B2"/>
    <w:rsid w:val="00BF4C89"/>
    <w:rsid w:val="00BF7795"/>
    <w:rsid w:val="00C0000E"/>
    <w:rsid w:val="00C0088F"/>
    <w:rsid w:val="00C01845"/>
    <w:rsid w:val="00C02883"/>
    <w:rsid w:val="00C02886"/>
    <w:rsid w:val="00C04D31"/>
    <w:rsid w:val="00C06611"/>
    <w:rsid w:val="00C11108"/>
    <w:rsid w:val="00C11BB6"/>
    <w:rsid w:val="00C15DD8"/>
    <w:rsid w:val="00C16A85"/>
    <w:rsid w:val="00C16F1F"/>
    <w:rsid w:val="00C179E5"/>
    <w:rsid w:val="00C20897"/>
    <w:rsid w:val="00C23825"/>
    <w:rsid w:val="00C25EFA"/>
    <w:rsid w:val="00C300BC"/>
    <w:rsid w:val="00C3050C"/>
    <w:rsid w:val="00C30B9E"/>
    <w:rsid w:val="00C359CC"/>
    <w:rsid w:val="00C37254"/>
    <w:rsid w:val="00C40483"/>
    <w:rsid w:val="00C43A6B"/>
    <w:rsid w:val="00C43BFF"/>
    <w:rsid w:val="00C47837"/>
    <w:rsid w:val="00C512FA"/>
    <w:rsid w:val="00C51F5F"/>
    <w:rsid w:val="00C523D0"/>
    <w:rsid w:val="00C533FD"/>
    <w:rsid w:val="00C54C82"/>
    <w:rsid w:val="00C54E6A"/>
    <w:rsid w:val="00C564C2"/>
    <w:rsid w:val="00C661CE"/>
    <w:rsid w:val="00C663D3"/>
    <w:rsid w:val="00C66E26"/>
    <w:rsid w:val="00C67061"/>
    <w:rsid w:val="00C6733C"/>
    <w:rsid w:val="00C72B69"/>
    <w:rsid w:val="00C74307"/>
    <w:rsid w:val="00C74A72"/>
    <w:rsid w:val="00C75A7D"/>
    <w:rsid w:val="00C77893"/>
    <w:rsid w:val="00C80C45"/>
    <w:rsid w:val="00C81DF5"/>
    <w:rsid w:val="00C83BAB"/>
    <w:rsid w:val="00C83E45"/>
    <w:rsid w:val="00C84AB0"/>
    <w:rsid w:val="00C8549D"/>
    <w:rsid w:val="00C8617C"/>
    <w:rsid w:val="00C8671F"/>
    <w:rsid w:val="00C86973"/>
    <w:rsid w:val="00C86E84"/>
    <w:rsid w:val="00C876CD"/>
    <w:rsid w:val="00C8794E"/>
    <w:rsid w:val="00C92796"/>
    <w:rsid w:val="00C95011"/>
    <w:rsid w:val="00C95168"/>
    <w:rsid w:val="00C952D9"/>
    <w:rsid w:val="00CA454C"/>
    <w:rsid w:val="00CA4ED0"/>
    <w:rsid w:val="00CB074D"/>
    <w:rsid w:val="00CB3705"/>
    <w:rsid w:val="00CC492B"/>
    <w:rsid w:val="00CC674A"/>
    <w:rsid w:val="00CD6129"/>
    <w:rsid w:val="00CE1695"/>
    <w:rsid w:val="00CE2D30"/>
    <w:rsid w:val="00CE5923"/>
    <w:rsid w:val="00CE6ADC"/>
    <w:rsid w:val="00CF0DA6"/>
    <w:rsid w:val="00CF475D"/>
    <w:rsid w:val="00CF52AE"/>
    <w:rsid w:val="00CF5B78"/>
    <w:rsid w:val="00CF5D5A"/>
    <w:rsid w:val="00CF7215"/>
    <w:rsid w:val="00D00C61"/>
    <w:rsid w:val="00D02382"/>
    <w:rsid w:val="00D0749B"/>
    <w:rsid w:val="00D10F15"/>
    <w:rsid w:val="00D17088"/>
    <w:rsid w:val="00D20E7E"/>
    <w:rsid w:val="00D22DB5"/>
    <w:rsid w:val="00D23A28"/>
    <w:rsid w:val="00D25B9B"/>
    <w:rsid w:val="00D272A3"/>
    <w:rsid w:val="00D30E95"/>
    <w:rsid w:val="00D3304D"/>
    <w:rsid w:val="00D3336F"/>
    <w:rsid w:val="00D36114"/>
    <w:rsid w:val="00D424F4"/>
    <w:rsid w:val="00D45CA1"/>
    <w:rsid w:val="00D46900"/>
    <w:rsid w:val="00D528C2"/>
    <w:rsid w:val="00D54DB3"/>
    <w:rsid w:val="00D57E53"/>
    <w:rsid w:val="00D6001A"/>
    <w:rsid w:val="00D636A6"/>
    <w:rsid w:val="00D637B1"/>
    <w:rsid w:val="00D63E11"/>
    <w:rsid w:val="00D662FC"/>
    <w:rsid w:val="00D742CD"/>
    <w:rsid w:val="00D748BB"/>
    <w:rsid w:val="00D75B39"/>
    <w:rsid w:val="00D80CAD"/>
    <w:rsid w:val="00D8177B"/>
    <w:rsid w:val="00D87617"/>
    <w:rsid w:val="00D934D7"/>
    <w:rsid w:val="00D9608B"/>
    <w:rsid w:val="00D97302"/>
    <w:rsid w:val="00D977DB"/>
    <w:rsid w:val="00DA04BA"/>
    <w:rsid w:val="00DA137B"/>
    <w:rsid w:val="00DA197E"/>
    <w:rsid w:val="00DA2AE9"/>
    <w:rsid w:val="00DA35DB"/>
    <w:rsid w:val="00DA453E"/>
    <w:rsid w:val="00DA4C44"/>
    <w:rsid w:val="00DA6F8F"/>
    <w:rsid w:val="00DA7E5A"/>
    <w:rsid w:val="00DB1ED7"/>
    <w:rsid w:val="00DB563B"/>
    <w:rsid w:val="00DC0249"/>
    <w:rsid w:val="00DC11E5"/>
    <w:rsid w:val="00DC12D4"/>
    <w:rsid w:val="00DC15EF"/>
    <w:rsid w:val="00DC28FF"/>
    <w:rsid w:val="00DC3584"/>
    <w:rsid w:val="00DC7F39"/>
    <w:rsid w:val="00DD3852"/>
    <w:rsid w:val="00DD52BE"/>
    <w:rsid w:val="00DD583D"/>
    <w:rsid w:val="00DD67CC"/>
    <w:rsid w:val="00DD71F8"/>
    <w:rsid w:val="00DE3A63"/>
    <w:rsid w:val="00DE446F"/>
    <w:rsid w:val="00DE5084"/>
    <w:rsid w:val="00DF0E30"/>
    <w:rsid w:val="00DF140F"/>
    <w:rsid w:val="00DF1432"/>
    <w:rsid w:val="00DF3339"/>
    <w:rsid w:val="00DF371C"/>
    <w:rsid w:val="00E005CB"/>
    <w:rsid w:val="00E035D7"/>
    <w:rsid w:val="00E108CC"/>
    <w:rsid w:val="00E11CBD"/>
    <w:rsid w:val="00E1227A"/>
    <w:rsid w:val="00E1238F"/>
    <w:rsid w:val="00E12C22"/>
    <w:rsid w:val="00E13028"/>
    <w:rsid w:val="00E134A9"/>
    <w:rsid w:val="00E134BF"/>
    <w:rsid w:val="00E17504"/>
    <w:rsid w:val="00E23CB6"/>
    <w:rsid w:val="00E25275"/>
    <w:rsid w:val="00E25D26"/>
    <w:rsid w:val="00E2783D"/>
    <w:rsid w:val="00E30F37"/>
    <w:rsid w:val="00E31238"/>
    <w:rsid w:val="00E31435"/>
    <w:rsid w:val="00E3214A"/>
    <w:rsid w:val="00E33174"/>
    <w:rsid w:val="00E331E3"/>
    <w:rsid w:val="00E36BE7"/>
    <w:rsid w:val="00E4012B"/>
    <w:rsid w:val="00E40847"/>
    <w:rsid w:val="00E4089D"/>
    <w:rsid w:val="00E4383C"/>
    <w:rsid w:val="00E44811"/>
    <w:rsid w:val="00E45D0C"/>
    <w:rsid w:val="00E5132C"/>
    <w:rsid w:val="00E51918"/>
    <w:rsid w:val="00E5247F"/>
    <w:rsid w:val="00E53BEC"/>
    <w:rsid w:val="00E54A8D"/>
    <w:rsid w:val="00E55401"/>
    <w:rsid w:val="00E55C0D"/>
    <w:rsid w:val="00E55C5C"/>
    <w:rsid w:val="00E55DD6"/>
    <w:rsid w:val="00E56BF9"/>
    <w:rsid w:val="00E60095"/>
    <w:rsid w:val="00E62D6C"/>
    <w:rsid w:val="00E63BD8"/>
    <w:rsid w:val="00E645EE"/>
    <w:rsid w:val="00E6657D"/>
    <w:rsid w:val="00E6744E"/>
    <w:rsid w:val="00E6749D"/>
    <w:rsid w:val="00E674BD"/>
    <w:rsid w:val="00E70239"/>
    <w:rsid w:val="00E72D0A"/>
    <w:rsid w:val="00E754DC"/>
    <w:rsid w:val="00E761F7"/>
    <w:rsid w:val="00E76261"/>
    <w:rsid w:val="00E766E4"/>
    <w:rsid w:val="00E7721F"/>
    <w:rsid w:val="00E77718"/>
    <w:rsid w:val="00E81BDA"/>
    <w:rsid w:val="00E8215F"/>
    <w:rsid w:val="00E84366"/>
    <w:rsid w:val="00E8744E"/>
    <w:rsid w:val="00E90FF1"/>
    <w:rsid w:val="00E91B76"/>
    <w:rsid w:val="00E93DAF"/>
    <w:rsid w:val="00EA17E2"/>
    <w:rsid w:val="00EA6859"/>
    <w:rsid w:val="00EA7AAA"/>
    <w:rsid w:val="00EB197F"/>
    <w:rsid w:val="00EB2D55"/>
    <w:rsid w:val="00EB31E8"/>
    <w:rsid w:val="00EB35A1"/>
    <w:rsid w:val="00EB447B"/>
    <w:rsid w:val="00EB4640"/>
    <w:rsid w:val="00EB49EA"/>
    <w:rsid w:val="00EB5637"/>
    <w:rsid w:val="00EC087A"/>
    <w:rsid w:val="00EC2911"/>
    <w:rsid w:val="00EC3EB2"/>
    <w:rsid w:val="00EC45BF"/>
    <w:rsid w:val="00EC6D42"/>
    <w:rsid w:val="00ED239E"/>
    <w:rsid w:val="00ED2D1E"/>
    <w:rsid w:val="00ED33E0"/>
    <w:rsid w:val="00ED38F3"/>
    <w:rsid w:val="00ED4F8C"/>
    <w:rsid w:val="00ED4FF8"/>
    <w:rsid w:val="00ED5671"/>
    <w:rsid w:val="00ED5A36"/>
    <w:rsid w:val="00ED64AD"/>
    <w:rsid w:val="00ED6DC4"/>
    <w:rsid w:val="00ED7073"/>
    <w:rsid w:val="00ED756D"/>
    <w:rsid w:val="00EE02D3"/>
    <w:rsid w:val="00EE0381"/>
    <w:rsid w:val="00EE03AB"/>
    <w:rsid w:val="00EE1703"/>
    <w:rsid w:val="00EE203C"/>
    <w:rsid w:val="00EE6A56"/>
    <w:rsid w:val="00EE737E"/>
    <w:rsid w:val="00EF2AD1"/>
    <w:rsid w:val="00EF7803"/>
    <w:rsid w:val="00F01B20"/>
    <w:rsid w:val="00F0543C"/>
    <w:rsid w:val="00F13FBF"/>
    <w:rsid w:val="00F15385"/>
    <w:rsid w:val="00F17D3C"/>
    <w:rsid w:val="00F20449"/>
    <w:rsid w:val="00F232F4"/>
    <w:rsid w:val="00F249B3"/>
    <w:rsid w:val="00F312FF"/>
    <w:rsid w:val="00F33422"/>
    <w:rsid w:val="00F33799"/>
    <w:rsid w:val="00F33C17"/>
    <w:rsid w:val="00F344E8"/>
    <w:rsid w:val="00F35FE5"/>
    <w:rsid w:val="00F366ED"/>
    <w:rsid w:val="00F367AA"/>
    <w:rsid w:val="00F36ABB"/>
    <w:rsid w:val="00F374F2"/>
    <w:rsid w:val="00F41169"/>
    <w:rsid w:val="00F41CF5"/>
    <w:rsid w:val="00F429D7"/>
    <w:rsid w:val="00F4390B"/>
    <w:rsid w:val="00F43B19"/>
    <w:rsid w:val="00F46209"/>
    <w:rsid w:val="00F46B99"/>
    <w:rsid w:val="00F473E9"/>
    <w:rsid w:val="00F5038E"/>
    <w:rsid w:val="00F54ACB"/>
    <w:rsid w:val="00F57C80"/>
    <w:rsid w:val="00F6692F"/>
    <w:rsid w:val="00F71132"/>
    <w:rsid w:val="00F731F4"/>
    <w:rsid w:val="00F734BD"/>
    <w:rsid w:val="00F74B8A"/>
    <w:rsid w:val="00F76FF9"/>
    <w:rsid w:val="00F80EF3"/>
    <w:rsid w:val="00F856FB"/>
    <w:rsid w:val="00F87312"/>
    <w:rsid w:val="00F87508"/>
    <w:rsid w:val="00F90CA2"/>
    <w:rsid w:val="00F9274B"/>
    <w:rsid w:val="00F94A49"/>
    <w:rsid w:val="00FA0151"/>
    <w:rsid w:val="00FA2ECE"/>
    <w:rsid w:val="00FA37F6"/>
    <w:rsid w:val="00FA5FAA"/>
    <w:rsid w:val="00FA7FDB"/>
    <w:rsid w:val="00FB159A"/>
    <w:rsid w:val="00FB37A6"/>
    <w:rsid w:val="00FB37BD"/>
    <w:rsid w:val="00FC2F03"/>
    <w:rsid w:val="00FC3514"/>
    <w:rsid w:val="00FC3B70"/>
    <w:rsid w:val="00FC4449"/>
    <w:rsid w:val="00FD286E"/>
    <w:rsid w:val="00FD28B1"/>
    <w:rsid w:val="00FD3284"/>
    <w:rsid w:val="00FD4A9C"/>
    <w:rsid w:val="00FD5117"/>
    <w:rsid w:val="00FE017C"/>
    <w:rsid w:val="00FE07BB"/>
    <w:rsid w:val="00FF272D"/>
    <w:rsid w:val="00FF4B5E"/>
    <w:rsid w:val="00FF6C4F"/>
    <w:rsid w:val="00FF71A3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B8A4C"/>
  <w15:chartTrackingRefBased/>
  <w15:docId w15:val="{86A5DBBE-5979-1B46-8935-D0074841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2CF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B1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0614EB"/>
    <w:pPr>
      <w:spacing w:before="100" w:beforeAutospacing="1" w:after="100" w:afterAutospacing="1"/>
      <w:outlineLvl w:val="3"/>
    </w:pPr>
    <w:rPr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B2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8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80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E192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E192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43B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apar">
    <w:name w:val="a_par"/>
    <w:basedOn w:val="DefaultParagraphFont"/>
    <w:rsid w:val="001A12CF"/>
  </w:style>
  <w:style w:type="character" w:customStyle="1" w:styleId="spctttl">
    <w:name w:val="s_pct_ttl"/>
    <w:basedOn w:val="DefaultParagraphFont"/>
    <w:rsid w:val="001A12CF"/>
  </w:style>
  <w:style w:type="character" w:customStyle="1" w:styleId="apple-converted-space">
    <w:name w:val="apple-converted-space"/>
    <w:basedOn w:val="DefaultParagraphFont"/>
    <w:rsid w:val="001A12CF"/>
  </w:style>
  <w:style w:type="character" w:customStyle="1" w:styleId="spctbdy">
    <w:name w:val="s_pct_bdy"/>
    <w:basedOn w:val="DefaultParagraphFont"/>
    <w:rsid w:val="001A12CF"/>
  </w:style>
  <w:style w:type="character" w:styleId="Hyperlink">
    <w:name w:val="Hyperlink"/>
    <w:basedOn w:val="DefaultParagraphFont"/>
    <w:uiPriority w:val="99"/>
    <w:unhideWhenUsed/>
    <w:rsid w:val="001A12CF"/>
    <w:rPr>
      <w:color w:val="0000FF"/>
      <w:u w:val="single"/>
    </w:rPr>
  </w:style>
  <w:style w:type="character" w:customStyle="1" w:styleId="slit">
    <w:name w:val="s_lit"/>
    <w:basedOn w:val="DefaultParagraphFont"/>
    <w:rsid w:val="001A12CF"/>
  </w:style>
  <w:style w:type="character" w:customStyle="1" w:styleId="slitttl">
    <w:name w:val="s_lit_ttl"/>
    <w:basedOn w:val="DefaultParagraphFont"/>
    <w:rsid w:val="001A12CF"/>
  </w:style>
  <w:style w:type="character" w:customStyle="1" w:styleId="slitbdy">
    <w:name w:val="s_lit_bdy"/>
    <w:basedOn w:val="DefaultParagraphFont"/>
    <w:rsid w:val="001A12CF"/>
  </w:style>
  <w:style w:type="paragraph" w:styleId="Revision">
    <w:name w:val="Revision"/>
    <w:hidden/>
    <w:uiPriority w:val="99"/>
    <w:semiHidden/>
    <w:rsid w:val="00A079E3"/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614EB"/>
    <w:rPr>
      <w:rFonts w:ascii="Times New Roman" w:eastAsia="Times New Roman" w:hAnsi="Times New Roman" w:cs="Times New Roman"/>
      <w:b/>
      <w:bCs/>
      <w:lang w:val="ro-RO" w:eastAsia="ro-RO"/>
    </w:rPr>
  </w:style>
  <w:style w:type="character" w:styleId="Strong">
    <w:name w:val="Strong"/>
    <w:basedOn w:val="DefaultParagraphFont"/>
    <w:uiPriority w:val="22"/>
    <w:qFormat/>
    <w:rsid w:val="000614EB"/>
    <w:rPr>
      <w:b/>
      <w:bCs/>
    </w:rPr>
  </w:style>
  <w:style w:type="paragraph" w:customStyle="1" w:styleId="al">
    <w:name w:val="a_l"/>
    <w:basedOn w:val="Normal"/>
    <w:rsid w:val="00EE737E"/>
    <w:pPr>
      <w:spacing w:before="100" w:beforeAutospacing="1" w:after="100" w:afterAutospacing="1"/>
    </w:pPr>
  </w:style>
  <w:style w:type="character" w:customStyle="1" w:styleId="cmg">
    <w:name w:val="cmg"/>
    <w:basedOn w:val="DefaultParagraphFont"/>
    <w:rsid w:val="006C55ED"/>
  </w:style>
  <w:style w:type="paragraph" w:styleId="BalloonText">
    <w:name w:val="Balloon Text"/>
    <w:basedOn w:val="Normal"/>
    <w:link w:val="BalloonTextChar"/>
    <w:uiPriority w:val="99"/>
    <w:semiHidden/>
    <w:unhideWhenUsed/>
    <w:rsid w:val="00C11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08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0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6D3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C0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6D3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C1AA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5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65D889A1E934992E0AD86F1817C54" ma:contentTypeVersion="2" ma:contentTypeDescription="Creați un document nou." ma:contentTypeScope="" ma:versionID="aaa05f2bcc689042e3b8c86e54b05b09">
  <xsd:schema xmlns:xsd="http://www.w3.org/2001/XMLSchema" xmlns:xs="http://www.w3.org/2001/XMLSchema" xmlns:p="http://schemas.microsoft.com/office/2006/metadata/properties" xmlns:ns2="95f4b69a-0cd0-4460-9690-b9cfe6860272" targetNamespace="http://schemas.microsoft.com/office/2006/metadata/properties" ma:root="true" ma:fieldsID="37d8d90fb7ac904368a0136a7c6d65f3" ns2:_="">
    <xsd:import namespace="95f4b69a-0cd0-4460-9690-b9cfe68602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4b69a-0cd0-4460-9690-b9cfe6860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0EB7B-5114-4066-AB91-467F9ACC5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51DEF-6757-4485-9933-E5D146F1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4b69a-0cd0-4460-9690-b9cfe6860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AA699-9EF6-4BE1-9BFE-8FFD26479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571B39-4BE6-4489-A09D-B123CFEB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6194</Words>
  <Characters>35309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2024-02-28T14:30:00Z</cp:lastPrinted>
  <dcterms:created xsi:type="dcterms:W3CDTF">2024-02-28T14:31:00Z</dcterms:created>
  <dcterms:modified xsi:type="dcterms:W3CDTF">2024-02-28T14:31:00Z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683cdfd7-c9d8-484b-8b6e-553561b2382d</vt:lpwstr>
  </property>
  <property fmtid="{D5CDD505-2E9C-101B-9397-08002B2CF9AE}" pid="3" name="ContentTypeId">
    <vt:lpwstr>0x01010089D65D889A1E934992E0AD86F1817C54</vt:lpwstr>
  </property>
  <property fmtid="{D5CDD505-2E9C-101B-9397-08002B2CF9AE}" pid="4" name="Clasificare">
    <vt:lpwstr>SP-3</vt:lpwstr>
  </property>
</Properties>
</file>