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6175" w14:textId="47273CD9" w:rsidR="00584F51" w:rsidRPr="00C75958" w:rsidRDefault="00C75958" w:rsidP="00C85C59">
      <w:pPr>
        <w:spacing w:after="0" w:line="240" w:lineRule="auto"/>
        <w:jc w:val="center"/>
        <w:rPr>
          <w:rFonts w:ascii="PermianSerifTypeface" w:hAnsi="PermianSerifTypeface"/>
          <w:b/>
          <w:sz w:val="24"/>
          <w:szCs w:val="24"/>
          <w:lang w:val="ro-RO"/>
        </w:rPr>
      </w:pPr>
      <w:r w:rsidRPr="00C75958">
        <w:rPr>
          <w:rFonts w:ascii="PermianSerifTypeface" w:hAnsi="PermianSerifTypeface" w:cs="Arial"/>
          <w:b/>
          <w:sz w:val="24"/>
          <w:szCs w:val="24"/>
          <w:lang w:val="ro-RO"/>
        </w:rPr>
        <w:t>COMITETUL EXECUTIV</w:t>
      </w:r>
    </w:p>
    <w:p w14:paraId="1CDECF0F" w14:textId="77777777" w:rsidR="005573CA" w:rsidRPr="00C75958" w:rsidRDefault="00225150" w:rsidP="00C85C59">
      <w:pPr>
        <w:spacing w:after="0" w:line="240" w:lineRule="auto"/>
        <w:jc w:val="center"/>
        <w:rPr>
          <w:rFonts w:ascii="PermianSerifTypeface" w:hAnsi="PermianSerifTypeface" w:cs="Arial"/>
          <w:b/>
          <w:sz w:val="24"/>
          <w:szCs w:val="24"/>
          <w:lang w:val="ro-RO"/>
        </w:rPr>
      </w:pPr>
      <w:r w:rsidRPr="00C75958">
        <w:rPr>
          <w:rFonts w:ascii="PermianSerifTypeface" w:hAnsi="PermianSerifTypeface" w:cs="Arial"/>
          <w:b/>
          <w:sz w:val="24"/>
          <w:szCs w:val="24"/>
          <w:lang w:val="ro-RO"/>
        </w:rPr>
        <w:t>BANCA NAŢIONALĂ A MOLDOVEI</w:t>
      </w:r>
    </w:p>
    <w:p w14:paraId="2ABA28B3" w14:textId="230D0FE3" w:rsidR="005573CA" w:rsidRPr="00554403" w:rsidRDefault="005573CA" w:rsidP="00C85C59">
      <w:pPr>
        <w:spacing w:after="0" w:line="240" w:lineRule="auto"/>
        <w:jc w:val="center"/>
        <w:rPr>
          <w:rFonts w:ascii="PermianSerifTypeface" w:hAnsi="PermianSerifTypeface" w:cs="Arial"/>
          <w:b/>
          <w:sz w:val="28"/>
          <w:szCs w:val="24"/>
          <w:lang w:val="ro-RO"/>
        </w:rPr>
      </w:pPr>
    </w:p>
    <w:p w14:paraId="2D085AFE" w14:textId="77777777" w:rsidR="00C75958" w:rsidRDefault="00225150" w:rsidP="00C85C59">
      <w:pPr>
        <w:spacing w:before="120" w:after="120" w:line="240" w:lineRule="auto"/>
        <w:jc w:val="center"/>
        <w:rPr>
          <w:rFonts w:ascii="PermianSerifTypeface" w:hAnsi="PermianSerifTypeface" w:cs="Arial"/>
          <w:b/>
          <w:sz w:val="24"/>
          <w:szCs w:val="24"/>
          <w:lang w:val="ro-RO"/>
        </w:rPr>
      </w:pPr>
      <w:r w:rsidRPr="00C75958">
        <w:rPr>
          <w:rFonts w:ascii="PermianSerifTypeface" w:hAnsi="PermianSerifTypeface" w:cs="Arial"/>
          <w:b/>
          <w:sz w:val="24"/>
          <w:szCs w:val="24"/>
          <w:lang w:val="ro-RO"/>
        </w:rPr>
        <w:t>HOTĂRÂREA</w:t>
      </w:r>
      <w:r w:rsidR="005B27FB" w:rsidRPr="00C75958">
        <w:rPr>
          <w:rFonts w:ascii="PermianSerifTypeface" w:hAnsi="PermianSerifTypeface" w:cs="Arial"/>
          <w:b/>
          <w:sz w:val="24"/>
          <w:szCs w:val="24"/>
          <w:lang w:val="ro-RO"/>
        </w:rPr>
        <w:t xml:space="preserve"> </w:t>
      </w:r>
    </w:p>
    <w:p w14:paraId="77DADF6B" w14:textId="4A54FD02" w:rsidR="005B27FB" w:rsidRDefault="005B27FB" w:rsidP="00C75958">
      <w:pPr>
        <w:spacing w:before="120" w:after="120" w:line="240" w:lineRule="auto"/>
        <w:jc w:val="center"/>
        <w:rPr>
          <w:rFonts w:ascii="PermianSerifTypeface" w:hAnsi="PermianSerifTypeface" w:cs="Arial"/>
          <w:bCs/>
          <w:sz w:val="24"/>
          <w:szCs w:val="24"/>
          <w:u w:val="single"/>
          <w:lang w:val="ro-RO"/>
        </w:rPr>
      </w:pPr>
      <w:r w:rsidRPr="00C75958">
        <w:rPr>
          <w:rFonts w:ascii="PermianSerifTypeface" w:hAnsi="PermianSerifTypeface" w:cs="Arial"/>
          <w:bCs/>
          <w:sz w:val="24"/>
          <w:szCs w:val="24"/>
          <w:lang w:val="ro-RO"/>
        </w:rPr>
        <w:t xml:space="preserve">nr. </w:t>
      </w:r>
      <w:r w:rsidR="00C75958" w:rsidRPr="00797EFC">
        <w:rPr>
          <w:rFonts w:ascii="PermianSerifTypeface" w:hAnsi="PermianSerifTypeface" w:cs="Arial"/>
          <w:bCs/>
          <w:sz w:val="24"/>
          <w:szCs w:val="24"/>
          <w:u w:val="single"/>
          <w:lang w:val="ro-RO"/>
        </w:rPr>
        <w:t>267</w:t>
      </w:r>
      <w:r w:rsidR="00C75958" w:rsidRPr="00C75958">
        <w:rPr>
          <w:rFonts w:ascii="PermianSerifTypeface" w:hAnsi="PermianSerifTypeface" w:cs="Arial"/>
          <w:bCs/>
          <w:sz w:val="24"/>
          <w:szCs w:val="24"/>
          <w:lang w:val="ro-RO"/>
        </w:rPr>
        <w:t xml:space="preserve"> din </w:t>
      </w:r>
      <w:r w:rsidR="00C75958" w:rsidRPr="00797EFC">
        <w:rPr>
          <w:rFonts w:ascii="PermianSerifTypeface" w:hAnsi="PermianSerifTypeface" w:cs="Arial"/>
          <w:bCs/>
          <w:sz w:val="24"/>
          <w:szCs w:val="24"/>
          <w:u w:val="single"/>
          <w:lang w:val="ro-RO"/>
        </w:rPr>
        <w:t>31</w:t>
      </w:r>
      <w:r w:rsidRPr="00C75958">
        <w:rPr>
          <w:rFonts w:ascii="PermianSerifTypeface" w:hAnsi="PermianSerifTypeface" w:cs="Arial"/>
          <w:bCs/>
          <w:sz w:val="24"/>
          <w:szCs w:val="24"/>
          <w:lang w:val="ro-RO"/>
        </w:rPr>
        <w:t xml:space="preserve"> </w:t>
      </w:r>
      <w:r w:rsidR="00C75958" w:rsidRPr="00797EFC">
        <w:rPr>
          <w:rFonts w:ascii="PermianSerifTypeface" w:hAnsi="PermianSerifTypeface" w:cs="Arial"/>
          <w:bCs/>
          <w:sz w:val="24"/>
          <w:szCs w:val="24"/>
          <w:u w:val="single"/>
          <w:lang w:val="ro-RO"/>
        </w:rPr>
        <w:t>octombrie</w:t>
      </w:r>
      <w:r w:rsidRPr="00C75958">
        <w:rPr>
          <w:rFonts w:ascii="PermianSerifTypeface" w:hAnsi="PermianSerifTypeface" w:cs="Arial"/>
          <w:bCs/>
          <w:sz w:val="24"/>
          <w:szCs w:val="24"/>
          <w:lang w:val="ro-RO"/>
        </w:rPr>
        <w:t xml:space="preserve"> 20</w:t>
      </w:r>
      <w:r w:rsidR="00C75958" w:rsidRPr="00797EFC">
        <w:rPr>
          <w:rFonts w:ascii="PermianSerifTypeface" w:hAnsi="PermianSerifTypeface" w:cs="Arial"/>
          <w:bCs/>
          <w:sz w:val="24"/>
          <w:szCs w:val="24"/>
          <w:u w:val="single"/>
          <w:lang w:val="ro-RO"/>
        </w:rPr>
        <w:t>24</w:t>
      </w:r>
    </w:p>
    <w:p w14:paraId="3F998326" w14:textId="65848570" w:rsidR="00797EFC" w:rsidRPr="00C75958" w:rsidRDefault="00797EFC" w:rsidP="00C75958">
      <w:pPr>
        <w:spacing w:before="120" w:after="120" w:line="240" w:lineRule="auto"/>
        <w:jc w:val="center"/>
        <w:rPr>
          <w:rFonts w:ascii="PermianSerifTypeface" w:hAnsi="PermianSerifTypeface" w:cs="Arial"/>
          <w:bCs/>
          <w:sz w:val="24"/>
          <w:szCs w:val="24"/>
          <w:lang w:val="ro-RO"/>
        </w:rPr>
      </w:pPr>
    </w:p>
    <w:p w14:paraId="447004CD" w14:textId="77777777" w:rsidR="005B27FB" w:rsidRPr="00C75958" w:rsidRDefault="005B27FB" w:rsidP="00C85C59">
      <w:pPr>
        <w:spacing w:before="120" w:after="120" w:line="240" w:lineRule="auto"/>
        <w:jc w:val="center"/>
        <w:rPr>
          <w:rFonts w:ascii="PermianSerifTypeface" w:hAnsi="PermianSerifTypeface" w:cs="Arial"/>
          <w:b/>
          <w:sz w:val="24"/>
          <w:szCs w:val="24"/>
          <w:lang w:val="ro-RO"/>
        </w:rPr>
      </w:pPr>
    </w:p>
    <w:p w14:paraId="70F2121A" w14:textId="61CE920D" w:rsidR="005573CA" w:rsidRDefault="006A7D65" w:rsidP="00797EFC">
      <w:pPr>
        <w:spacing w:after="0" w:line="240" w:lineRule="auto"/>
        <w:jc w:val="center"/>
        <w:rPr>
          <w:rFonts w:ascii="PermianSerifTypeface" w:hAnsi="PermianSerifTypeface" w:cs="Arial"/>
          <w:b/>
          <w:sz w:val="24"/>
          <w:szCs w:val="24"/>
          <w:lang w:val="ro-MD"/>
        </w:rPr>
      </w:pPr>
      <w:r>
        <w:rPr>
          <w:rFonts w:ascii="PermianSerifTypeface" w:hAnsi="PermianSerifTypeface" w:cs="Arial"/>
          <w:b/>
          <w:sz w:val="24"/>
          <w:szCs w:val="24"/>
          <w:lang w:val="ro-RO"/>
        </w:rPr>
        <w:t>Pentru</w:t>
      </w:r>
      <w:r w:rsidR="00E032F3" w:rsidRPr="00554403">
        <w:rPr>
          <w:rFonts w:ascii="PermianSerifTypeface" w:hAnsi="PermianSerifTypeface" w:cs="Arial"/>
          <w:b/>
          <w:sz w:val="24"/>
          <w:szCs w:val="24"/>
          <w:lang w:val="ro-RO"/>
        </w:rPr>
        <w:t xml:space="preserve"> aprobarea </w:t>
      </w:r>
      <w:r w:rsidR="008854F0" w:rsidRPr="00554403">
        <w:rPr>
          <w:rFonts w:ascii="PermianSerifTypeface" w:hAnsi="PermianSerifTypeface" w:cs="Arial"/>
          <w:b/>
          <w:sz w:val="24"/>
          <w:szCs w:val="24"/>
          <w:lang w:val="ro-RO"/>
        </w:rPr>
        <w:t>Regulamentul</w:t>
      </w:r>
      <w:r w:rsidR="008854F0">
        <w:rPr>
          <w:rFonts w:ascii="PermianSerifTypeface" w:hAnsi="PermianSerifTypeface" w:cs="Arial"/>
          <w:b/>
          <w:sz w:val="24"/>
          <w:szCs w:val="24"/>
          <w:lang w:val="ro-RO"/>
        </w:rPr>
        <w:t>ui</w:t>
      </w:r>
      <w:r w:rsidR="008854F0" w:rsidRPr="00554403">
        <w:rPr>
          <w:rFonts w:ascii="PermianSerifTypeface" w:hAnsi="PermianSerifTypeface" w:cs="Arial"/>
          <w:b/>
          <w:sz w:val="24"/>
          <w:szCs w:val="24"/>
          <w:lang w:val="ro-RO"/>
        </w:rPr>
        <w:t xml:space="preserve"> cu privire </w:t>
      </w:r>
      <w:r w:rsidR="00514C45">
        <w:rPr>
          <w:rFonts w:ascii="PermianSerifTypeface" w:hAnsi="PermianSerifTypeface" w:cs="Arial"/>
          <w:b/>
          <w:sz w:val="24"/>
          <w:szCs w:val="24"/>
          <w:lang w:val="ro-RO"/>
        </w:rPr>
        <w:t xml:space="preserve">la </w:t>
      </w:r>
      <w:r w:rsidR="008854F0" w:rsidRPr="00554403">
        <w:rPr>
          <w:rFonts w:ascii="PermianSerifTypeface" w:hAnsi="PermianSerifTypeface" w:cs="Arial"/>
          <w:b/>
          <w:sz w:val="24"/>
          <w:szCs w:val="24"/>
          <w:lang w:val="ro-RO"/>
        </w:rPr>
        <w:t>audit</w:t>
      </w:r>
      <w:r w:rsidR="00943933">
        <w:rPr>
          <w:rFonts w:ascii="PermianSerifTypeface" w:hAnsi="PermianSerifTypeface" w:cs="Arial"/>
          <w:b/>
          <w:sz w:val="24"/>
          <w:szCs w:val="24"/>
          <w:lang w:val="ro-RO"/>
        </w:rPr>
        <w:t>ul</w:t>
      </w:r>
      <w:r w:rsidR="008854F0">
        <w:rPr>
          <w:rFonts w:ascii="PermianSerifTypeface" w:hAnsi="PermianSerifTypeface" w:cs="Arial"/>
          <w:b/>
          <w:sz w:val="24"/>
          <w:szCs w:val="24"/>
          <w:lang w:val="ro-RO"/>
        </w:rPr>
        <w:t xml:space="preserve"> </w:t>
      </w:r>
      <w:r w:rsidR="008854F0" w:rsidRPr="00EC03C1">
        <w:rPr>
          <w:rFonts w:ascii="PermianSerifTypeface" w:hAnsi="PermianSerifTypeface" w:cs="Arial"/>
          <w:b/>
          <w:sz w:val="24"/>
          <w:szCs w:val="24"/>
          <w:lang w:val="ro-RO"/>
        </w:rPr>
        <w:t>prestator</w:t>
      </w:r>
      <w:r w:rsidR="00943933">
        <w:rPr>
          <w:rFonts w:ascii="PermianSerifTypeface" w:hAnsi="PermianSerifTypeface" w:cs="Arial"/>
          <w:b/>
          <w:sz w:val="24"/>
          <w:szCs w:val="24"/>
          <w:lang w:val="ro-RO"/>
        </w:rPr>
        <w:t>ilor</w:t>
      </w:r>
      <w:r w:rsidR="008854F0" w:rsidRPr="00481EA5">
        <w:rPr>
          <w:rFonts w:ascii="PermianSerifTypeface" w:hAnsi="PermianSerifTypeface" w:cs="Arial"/>
          <w:b/>
          <w:sz w:val="24"/>
          <w:szCs w:val="24"/>
          <w:lang w:val="ro-RO"/>
        </w:rPr>
        <w:t xml:space="preserve"> </w:t>
      </w:r>
      <w:r w:rsidR="008854F0" w:rsidRPr="00554403">
        <w:rPr>
          <w:rFonts w:ascii="PermianSerifTypeface" w:hAnsi="PermianSerifTypeface" w:cs="Arial"/>
          <w:b/>
          <w:sz w:val="24"/>
          <w:szCs w:val="24"/>
          <w:lang w:val="ro-RO"/>
        </w:rPr>
        <w:t>de servicii de plată nebancar</w:t>
      </w:r>
      <w:r w:rsidR="00CD05C6">
        <w:rPr>
          <w:rFonts w:ascii="PermianSerifTypeface" w:hAnsi="PermianSerifTypeface" w:cs="Arial"/>
          <w:b/>
          <w:sz w:val="24"/>
          <w:szCs w:val="24"/>
          <w:lang w:val="ro-RO"/>
        </w:rPr>
        <w:t>i</w:t>
      </w:r>
      <w:r w:rsidR="008854F0">
        <w:rPr>
          <w:rFonts w:ascii="PermianSerifTypeface" w:hAnsi="PermianSerifTypeface" w:cs="Arial"/>
          <w:b/>
          <w:sz w:val="24"/>
          <w:szCs w:val="24"/>
          <w:lang w:val="ro-RO"/>
        </w:rPr>
        <w:t xml:space="preserve">, modificarea </w:t>
      </w:r>
      <w:r w:rsidR="008854F0">
        <w:rPr>
          <w:rFonts w:ascii="PermianSerifTypeface" w:hAnsi="PermianSerifTypeface" w:cs="Arial"/>
          <w:b/>
          <w:sz w:val="24"/>
          <w:szCs w:val="24"/>
          <w:lang w:val="ro-MD"/>
        </w:rPr>
        <w:t>și completarea unor acte normative ale Băncii Naționale a Moldovei</w:t>
      </w:r>
    </w:p>
    <w:p w14:paraId="61682284" w14:textId="65B6AE73" w:rsidR="00797EFC" w:rsidRPr="00C75958" w:rsidRDefault="00797EFC" w:rsidP="00797EFC">
      <w:pPr>
        <w:spacing w:after="120" w:line="240" w:lineRule="auto"/>
        <w:jc w:val="center"/>
        <w:rPr>
          <w:rFonts w:ascii="PermianSerifTypeface" w:hAnsi="PermianSerifTypeface" w:cs="Arial"/>
          <w:bCs/>
          <w:sz w:val="24"/>
          <w:szCs w:val="24"/>
          <w:lang w:val="ro-RO"/>
        </w:rPr>
      </w:pPr>
      <w:r w:rsidRPr="008F2590">
        <w:rPr>
          <w:rFonts w:ascii="PermianSerifTypeface" w:hAnsi="PermianSerifTypeface"/>
          <w:b/>
          <w:bCs/>
          <w:i/>
          <w:iCs/>
          <w:sz w:val="22"/>
          <w:szCs w:val="22"/>
        </w:rPr>
        <w:t>(</w:t>
      </w:r>
      <w:r w:rsidRPr="008F2590">
        <w:rPr>
          <w:rFonts w:ascii="PermianSerifTypeface" w:hAnsi="PermianSerifTypeface"/>
          <w:b/>
          <w:bCs/>
          <w:i/>
          <w:iCs/>
          <w:sz w:val="22"/>
          <w:szCs w:val="22"/>
          <w:lang w:val="ro-RO"/>
        </w:rPr>
        <w:t>î</w:t>
      </w:r>
      <w:r w:rsidRPr="008F2590">
        <w:rPr>
          <w:rFonts w:ascii="PermianSerifTypeface" w:hAnsi="PermianSerifTypeface"/>
          <w:b/>
          <w:bCs/>
          <w:i/>
          <w:iCs/>
          <w:sz w:val="22"/>
          <w:szCs w:val="22"/>
        </w:rPr>
        <w:t xml:space="preserve">n </w:t>
      </w:r>
      <w:proofErr w:type="spellStart"/>
      <w:r w:rsidRPr="008F2590">
        <w:rPr>
          <w:rFonts w:ascii="PermianSerifTypeface" w:hAnsi="PermianSerifTypeface"/>
          <w:b/>
          <w:bCs/>
          <w:i/>
          <w:iCs/>
          <w:sz w:val="22"/>
          <w:szCs w:val="22"/>
        </w:rPr>
        <w:t>vigoare</w:t>
      </w:r>
      <w:proofErr w:type="spellEnd"/>
      <w:r w:rsidRPr="008F2590">
        <w:rPr>
          <w:rFonts w:ascii="PermianSerifTypeface" w:hAnsi="PermianSerifTypeface"/>
          <w:b/>
          <w:bCs/>
          <w:i/>
          <w:iCs/>
          <w:sz w:val="22"/>
          <w:szCs w:val="22"/>
        </w:rPr>
        <w:t xml:space="preserve"> din </w:t>
      </w:r>
      <w:r>
        <w:rPr>
          <w:rFonts w:ascii="PermianSerifTypeface" w:hAnsi="PermianSerifTypeface"/>
          <w:b/>
          <w:bCs/>
          <w:i/>
          <w:iCs/>
          <w:sz w:val="22"/>
          <w:szCs w:val="22"/>
        </w:rPr>
        <w:t>07</w:t>
      </w:r>
      <w:r w:rsidRPr="008F2590">
        <w:rPr>
          <w:rFonts w:ascii="PermianSerifTypeface" w:hAnsi="PermianSerifTypeface"/>
          <w:b/>
          <w:bCs/>
          <w:i/>
          <w:iCs/>
          <w:sz w:val="22"/>
          <w:szCs w:val="22"/>
        </w:rPr>
        <w:t>.</w:t>
      </w:r>
      <w:r>
        <w:rPr>
          <w:rFonts w:ascii="PermianSerifTypeface" w:hAnsi="PermianSerifTypeface"/>
          <w:b/>
          <w:bCs/>
          <w:i/>
          <w:iCs/>
          <w:sz w:val="22"/>
          <w:szCs w:val="22"/>
        </w:rPr>
        <w:t>1</w:t>
      </w:r>
      <w:r w:rsidRPr="008F2590">
        <w:rPr>
          <w:rFonts w:ascii="PermianSerifTypeface" w:hAnsi="PermianSerifTypeface"/>
          <w:b/>
          <w:bCs/>
          <w:i/>
          <w:iCs/>
          <w:sz w:val="22"/>
          <w:szCs w:val="22"/>
        </w:rPr>
        <w:t>1.2024</w:t>
      </w:r>
      <w:r>
        <w:rPr>
          <w:rFonts w:ascii="PermianSerifTypeface" w:hAnsi="PermianSerifTypeface"/>
          <w:b/>
          <w:bCs/>
          <w:i/>
          <w:iCs/>
          <w:sz w:val="22"/>
          <w:szCs w:val="22"/>
        </w:rPr>
        <w:t>)</w:t>
      </w:r>
    </w:p>
    <w:p w14:paraId="4CC5F7FB" w14:textId="77777777" w:rsidR="00C75958" w:rsidRPr="00554403" w:rsidRDefault="00C75958" w:rsidP="002A334A">
      <w:pPr>
        <w:spacing w:after="0" w:line="240" w:lineRule="auto"/>
        <w:jc w:val="center"/>
        <w:rPr>
          <w:rFonts w:ascii="PermianSerifTypeface" w:hAnsi="PermianSerifTypeface" w:cs="Arial"/>
          <w:b/>
          <w:sz w:val="24"/>
          <w:szCs w:val="24"/>
          <w:lang w:val="ro-RO"/>
        </w:rPr>
      </w:pPr>
    </w:p>
    <w:p w14:paraId="11AD6B01" w14:textId="77777777" w:rsidR="00D820A9" w:rsidRPr="00554403" w:rsidRDefault="00D820A9" w:rsidP="00C85C59">
      <w:pPr>
        <w:spacing w:after="0" w:line="240" w:lineRule="auto"/>
        <w:jc w:val="both"/>
        <w:rPr>
          <w:rFonts w:ascii="PermianSerifTypeface" w:hAnsi="PermianSerifTypeface" w:cs="Arial"/>
          <w:sz w:val="24"/>
          <w:szCs w:val="24"/>
          <w:lang w:val="ro-RO"/>
        </w:rPr>
      </w:pPr>
    </w:p>
    <w:p w14:paraId="44EECD12" w14:textId="18782861" w:rsidR="00A34723" w:rsidRPr="00554403" w:rsidRDefault="00B75B7C" w:rsidP="00C85C59">
      <w:pPr>
        <w:spacing w:after="0" w:line="240" w:lineRule="auto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În temeiul </w:t>
      </w:r>
      <w:r w:rsidR="00E639E6" w:rsidRPr="00E639E6">
        <w:rPr>
          <w:rFonts w:ascii="PermianSerifTypeface" w:hAnsi="PermianSerifTypeface" w:cs="Arial"/>
          <w:sz w:val="24"/>
          <w:szCs w:val="24"/>
          <w:lang w:val="ro-RO"/>
        </w:rPr>
        <w:t>art. 14 alin. (1) și (2),</w:t>
      </w:r>
      <w:r w:rsidR="00E639E6" w:rsidRPr="00E639E6">
        <w:t xml:space="preserve"> </w:t>
      </w:r>
      <w:r w:rsidR="00E639E6" w:rsidRPr="00E639E6">
        <w:rPr>
          <w:rFonts w:ascii="PermianSerifTypeface" w:hAnsi="PermianSerifTypeface" w:cs="Arial"/>
          <w:sz w:val="24"/>
          <w:szCs w:val="24"/>
          <w:lang w:val="ro-RO"/>
        </w:rPr>
        <w:t>art. 15 alin. (1) pct. 4)</w:t>
      </w:r>
      <w:r w:rsidR="00E639E6">
        <w:rPr>
          <w:rFonts w:ascii="PermianSerifTypeface" w:hAnsi="PermianSerifTypeface" w:cs="Arial"/>
          <w:sz w:val="24"/>
          <w:szCs w:val="24"/>
          <w:lang w:val="ro-RO"/>
        </w:rPr>
        <w:t>,</w:t>
      </w:r>
      <w:r w:rsidR="00E639E6" w:rsidRPr="00E639E6">
        <w:rPr>
          <w:rFonts w:ascii="PermianSerifTypeface" w:hAnsi="PermianSerifTypeface" w:cs="Arial"/>
          <w:sz w:val="24"/>
          <w:szCs w:val="24"/>
          <w:lang w:val="ro-RO"/>
        </w:rPr>
        <w:t xml:space="preserve"> art. 17 alin. (12), art. 19 alin. (5), art. 21 alin. (3), art. 23</w:t>
      </w:r>
      <w:r w:rsidR="00E639E6" w:rsidRPr="00E639E6">
        <w:rPr>
          <w:rFonts w:ascii="PermianSerifTypeface" w:hAnsi="PermianSerifTypeface" w:cs="Arial"/>
          <w:sz w:val="24"/>
          <w:szCs w:val="24"/>
          <w:vertAlign w:val="superscript"/>
          <w:lang w:val="ro-RO"/>
        </w:rPr>
        <w:t>1</w:t>
      </w:r>
      <w:r w:rsidR="00E639E6" w:rsidRPr="00E639E6">
        <w:rPr>
          <w:rFonts w:ascii="PermianSerifTypeface" w:hAnsi="PermianSerifTypeface" w:cs="Arial"/>
          <w:sz w:val="24"/>
          <w:szCs w:val="24"/>
          <w:lang w:val="ro-RO"/>
        </w:rPr>
        <w:t xml:space="preserve"> alin. (1)</w:t>
      </w:r>
      <w:r w:rsidR="00E639E6">
        <w:rPr>
          <w:rFonts w:ascii="PermianSerifTypeface" w:hAnsi="PermianSerifTypeface" w:cs="Arial"/>
          <w:sz w:val="24"/>
          <w:szCs w:val="24"/>
          <w:lang w:val="ro-RO"/>
        </w:rPr>
        <w:t>,</w:t>
      </w:r>
      <w:r w:rsidR="00E639E6" w:rsidRPr="00E639E6">
        <w:t xml:space="preserve"> </w:t>
      </w:r>
      <w:r w:rsidR="00E639E6" w:rsidRPr="00E639E6">
        <w:rPr>
          <w:rFonts w:ascii="PermianSerifTypeface" w:hAnsi="PermianSerifTypeface" w:cs="Arial"/>
          <w:sz w:val="24"/>
          <w:szCs w:val="24"/>
          <w:lang w:val="ro-RO"/>
        </w:rPr>
        <w:t>art. 27 alin. (3), (4), (5) și (7)</w:t>
      </w:r>
      <w:r w:rsidR="00E639E6">
        <w:rPr>
          <w:rFonts w:ascii="PermianSerifTypeface" w:hAnsi="PermianSerifTypeface" w:cs="Arial"/>
          <w:sz w:val="24"/>
          <w:szCs w:val="24"/>
          <w:lang w:val="ro-RO"/>
        </w:rPr>
        <w:t xml:space="preserve">, 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>art.</w:t>
      </w:r>
      <w:r w:rsidR="001D1E3E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E73CFC" w:rsidRPr="00554403">
        <w:rPr>
          <w:rFonts w:ascii="PermianSerifTypeface" w:hAnsi="PermianSerifTypeface" w:cs="Arial"/>
          <w:sz w:val="24"/>
          <w:szCs w:val="24"/>
          <w:lang w:val="ro-RO"/>
        </w:rPr>
        <w:t>30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alin.</w:t>
      </w:r>
      <w:r w:rsidR="007B085C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>(</w:t>
      </w:r>
      <w:r w:rsidR="00E73CFC" w:rsidRPr="00554403">
        <w:rPr>
          <w:rFonts w:ascii="PermianSerifTypeface" w:hAnsi="PermianSerifTypeface" w:cs="Arial"/>
          <w:sz w:val="24"/>
          <w:szCs w:val="24"/>
          <w:lang w:val="ro-RO"/>
        </w:rPr>
        <w:t>5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>)</w:t>
      </w:r>
      <w:r w:rsidR="00E94AF0"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E639E6">
        <w:rPr>
          <w:rFonts w:ascii="PermianSerifTypeface" w:hAnsi="PermianSerifTypeface" w:cs="Arial"/>
          <w:sz w:val="24"/>
          <w:szCs w:val="24"/>
          <w:lang w:val="ro-RO"/>
        </w:rPr>
        <w:t xml:space="preserve">și </w:t>
      </w:r>
      <w:r w:rsidR="00E94AF0" w:rsidRPr="00554403">
        <w:rPr>
          <w:rFonts w:ascii="PermianSerifTypeface" w:hAnsi="PermianSerifTypeface" w:cs="Arial"/>
          <w:sz w:val="24"/>
          <w:szCs w:val="24"/>
          <w:lang w:val="ro-RO"/>
        </w:rPr>
        <w:t>(6)</w:t>
      </w:r>
      <w:r w:rsidR="002C087E">
        <w:rPr>
          <w:rFonts w:ascii="PermianSerifTypeface" w:hAnsi="PermianSerifTypeface" w:cs="Arial"/>
          <w:sz w:val="24"/>
          <w:szCs w:val="24"/>
          <w:lang w:val="ro-RO"/>
        </w:rPr>
        <w:t>,</w:t>
      </w:r>
      <w:r w:rsidR="008E673F"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EF1106">
        <w:rPr>
          <w:rFonts w:ascii="PermianSerifTypeface" w:hAnsi="PermianSerifTypeface" w:cs="Arial"/>
          <w:sz w:val="24"/>
          <w:szCs w:val="24"/>
          <w:lang w:val="ro-RO"/>
        </w:rPr>
        <w:t xml:space="preserve">art. </w:t>
      </w:r>
      <w:r w:rsidR="00E639E6" w:rsidRPr="00E639E6">
        <w:rPr>
          <w:rFonts w:ascii="PermianSerifTypeface" w:hAnsi="PermianSerifTypeface" w:cs="Arial"/>
          <w:sz w:val="24"/>
          <w:szCs w:val="24"/>
          <w:lang w:val="ro-RO"/>
        </w:rPr>
        <w:t>52</w:t>
      </w:r>
      <w:r w:rsidR="00E639E6" w:rsidRPr="00E639E6">
        <w:rPr>
          <w:rFonts w:ascii="PermianSerifTypeface" w:hAnsi="PermianSerifTypeface" w:cs="Arial"/>
          <w:sz w:val="24"/>
          <w:szCs w:val="24"/>
          <w:vertAlign w:val="superscript"/>
          <w:lang w:val="ro-RO"/>
        </w:rPr>
        <w:t>4</w:t>
      </w:r>
      <w:r w:rsidR="00E639E6" w:rsidRPr="00E639E6">
        <w:rPr>
          <w:rFonts w:ascii="PermianSerifTypeface" w:hAnsi="PermianSerifTypeface" w:cs="Arial"/>
          <w:sz w:val="24"/>
          <w:szCs w:val="24"/>
          <w:lang w:val="ro-RO"/>
        </w:rPr>
        <w:t xml:space="preserve"> alin.</w:t>
      </w:r>
      <w:r w:rsidR="001D1E3E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E639E6" w:rsidRPr="00E639E6">
        <w:rPr>
          <w:rFonts w:ascii="PermianSerifTypeface" w:hAnsi="PermianSerifTypeface" w:cs="Arial"/>
          <w:sz w:val="24"/>
          <w:szCs w:val="24"/>
          <w:lang w:val="ro-RO"/>
        </w:rPr>
        <w:t>(7)</w:t>
      </w:r>
      <w:r w:rsidR="00E639E6">
        <w:rPr>
          <w:rFonts w:ascii="PermianSerifTypeface" w:hAnsi="PermianSerifTypeface" w:cs="Arial"/>
          <w:sz w:val="24"/>
          <w:szCs w:val="24"/>
          <w:lang w:val="ro-RO"/>
        </w:rPr>
        <w:t xml:space="preserve">, </w:t>
      </w:r>
      <w:r w:rsidR="00E639E6" w:rsidRPr="00E639E6">
        <w:rPr>
          <w:rFonts w:ascii="PermianSerifTypeface" w:hAnsi="PermianSerifTypeface" w:cs="Arial"/>
          <w:sz w:val="24"/>
          <w:szCs w:val="24"/>
          <w:lang w:val="ro-RO"/>
        </w:rPr>
        <w:t>art. 84</w:t>
      </w:r>
      <w:r w:rsidR="00E639E6">
        <w:rPr>
          <w:rFonts w:ascii="PermianSerifTypeface" w:hAnsi="PermianSerifTypeface" w:cs="Arial"/>
          <w:sz w:val="24"/>
          <w:szCs w:val="24"/>
          <w:lang w:val="ro-RO"/>
        </w:rPr>
        <w:t xml:space="preserve">, </w:t>
      </w:r>
      <w:r w:rsidR="00E639E6" w:rsidRPr="00554403">
        <w:rPr>
          <w:rFonts w:ascii="PermianSerifTypeface" w:hAnsi="PermianSerifTypeface" w:cs="Arial"/>
          <w:sz w:val="24"/>
          <w:szCs w:val="24"/>
          <w:lang w:val="ro-RO"/>
        </w:rPr>
        <w:t>art.</w:t>
      </w:r>
      <w:r w:rsidR="001D1E3E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E639E6"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91 </w:t>
      </w:r>
      <w:r w:rsidR="00E639E6">
        <w:rPr>
          <w:rFonts w:ascii="PermianSerifTypeface" w:hAnsi="PermianSerifTypeface" w:cs="Arial"/>
          <w:sz w:val="24"/>
          <w:szCs w:val="24"/>
          <w:lang w:val="ro-RO"/>
        </w:rPr>
        <w:t>alin. (1)</w:t>
      </w:r>
      <w:r w:rsidR="00E639E6" w:rsidRPr="00E639E6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E639E6">
        <w:rPr>
          <w:rFonts w:ascii="PermianSerifTypeface" w:hAnsi="PermianSerifTypeface" w:cs="Arial"/>
          <w:sz w:val="24"/>
          <w:szCs w:val="24"/>
          <w:lang w:val="ro-RO"/>
        </w:rPr>
        <w:t xml:space="preserve">precum </w:t>
      </w:r>
      <w:r w:rsidR="00E639E6" w:rsidRPr="00E639E6">
        <w:rPr>
          <w:rFonts w:ascii="PermianSerifTypeface" w:hAnsi="PermianSerifTypeface" w:cs="Arial"/>
          <w:sz w:val="24"/>
          <w:szCs w:val="24"/>
          <w:lang w:val="ro-RO"/>
        </w:rPr>
        <w:t>și art.</w:t>
      </w:r>
      <w:r w:rsidR="001D1E3E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E639E6" w:rsidRPr="00E639E6">
        <w:rPr>
          <w:rFonts w:ascii="PermianSerifTypeface" w:hAnsi="PermianSerifTypeface" w:cs="Arial"/>
          <w:sz w:val="24"/>
          <w:szCs w:val="24"/>
          <w:lang w:val="ro-RO"/>
        </w:rPr>
        <w:t>94 alin. (1) lit. c)</w:t>
      </w:r>
      <w:r w:rsidR="002C087E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>din Legea nr. 114</w:t>
      </w:r>
      <w:r w:rsidR="003F0AFF" w:rsidRPr="00554403">
        <w:rPr>
          <w:rFonts w:ascii="PermianSerifTypeface" w:hAnsi="PermianSerifTypeface" w:cs="Arial"/>
          <w:sz w:val="24"/>
          <w:szCs w:val="24"/>
          <w:lang w:val="ro-RO"/>
        </w:rPr>
        <w:t>/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2012 cu privire </w:t>
      </w:r>
      <w:r w:rsidRPr="008F425C">
        <w:rPr>
          <w:rFonts w:ascii="PermianSerifTypeface" w:hAnsi="PermianSerifTypeface" w:cs="Arial"/>
          <w:sz w:val="24"/>
          <w:szCs w:val="24"/>
          <w:lang w:val="ro-MD"/>
        </w:rPr>
        <w:t>la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serviciile de plată și moneda electronică (Monitorul Oficial al Republicii Moldova, 2012, nr.193-197, art.661), cu modificările ulterioare, Comitetul executiv al Băncii Naționale a Moldovei</w:t>
      </w:r>
    </w:p>
    <w:p w14:paraId="183DFEDD" w14:textId="77777777" w:rsidR="00D850B7" w:rsidRPr="00554403" w:rsidRDefault="00D850B7" w:rsidP="00C85C59">
      <w:pPr>
        <w:spacing w:after="0" w:line="240" w:lineRule="auto"/>
        <w:jc w:val="both"/>
        <w:rPr>
          <w:rFonts w:ascii="PermianSerifTypeface" w:hAnsi="PermianSerifTypeface" w:cs="Arial"/>
          <w:sz w:val="24"/>
          <w:szCs w:val="24"/>
          <w:lang w:val="ro-RO"/>
        </w:rPr>
      </w:pPr>
    </w:p>
    <w:p w14:paraId="1D67172A" w14:textId="77777777" w:rsidR="005573CA" w:rsidRPr="00554403" w:rsidRDefault="005573CA" w:rsidP="00C85C59">
      <w:pPr>
        <w:spacing w:after="0" w:line="240" w:lineRule="auto"/>
        <w:jc w:val="center"/>
        <w:rPr>
          <w:rFonts w:ascii="PermianSerifTypeface" w:hAnsi="PermianSerifTypeface" w:cs="Arial"/>
          <w:b/>
          <w:sz w:val="24"/>
          <w:szCs w:val="24"/>
          <w:lang w:val="ro-RO"/>
        </w:rPr>
      </w:pPr>
      <w:r w:rsidRPr="00554403">
        <w:rPr>
          <w:rFonts w:ascii="PermianSerifTypeface" w:hAnsi="PermianSerifTypeface" w:cs="Arial"/>
          <w:b/>
          <w:sz w:val="24"/>
          <w:szCs w:val="24"/>
          <w:lang w:val="ro-RO"/>
        </w:rPr>
        <w:t>HOTĂRĂŞTE:</w:t>
      </w:r>
    </w:p>
    <w:p w14:paraId="16F0668D" w14:textId="77777777" w:rsidR="00A34723" w:rsidRPr="00554403" w:rsidRDefault="00A34723" w:rsidP="00C85C59">
      <w:pPr>
        <w:spacing w:after="0" w:line="240" w:lineRule="auto"/>
        <w:jc w:val="both"/>
        <w:rPr>
          <w:rFonts w:ascii="PermianSerifTypeface" w:hAnsi="PermianSerifTypeface" w:cs="Arial"/>
          <w:b/>
          <w:sz w:val="24"/>
          <w:szCs w:val="24"/>
          <w:lang w:val="ro-RO"/>
        </w:rPr>
      </w:pPr>
    </w:p>
    <w:p w14:paraId="3D2F46B3" w14:textId="5D878BEB" w:rsidR="000B5D88" w:rsidRDefault="0013200F" w:rsidP="009F2E7F">
      <w:pPr>
        <w:pStyle w:val="ListParagraph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Se aprobă </w:t>
      </w:r>
      <w:r w:rsidR="002A334A" w:rsidRPr="00554403">
        <w:rPr>
          <w:rFonts w:ascii="PermianSerifTypeface" w:hAnsi="PermianSerifTypeface" w:cs="Arial"/>
          <w:sz w:val="24"/>
          <w:szCs w:val="24"/>
          <w:lang w:val="ro-RO"/>
        </w:rPr>
        <w:t>Regulamentul cu privire la audit</w:t>
      </w:r>
      <w:r w:rsidR="00943933">
        <w:rPr>
          <w:rFonts w:ascii="PermianSerifTypeface" w:hAnsi="PermianSerifTypeface" w:cs="Arial"/>
          <w:sz w:val="24"/>
          <w:szCs w:val="24"/>
          <w:lang w:val="ro-RO"/>
        </w:rPr>
        <w:t>ul</w:t>
      </w:r>
      <w:r w:rsidR="002A334A"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2A334A" w:rsidRPr="00F3596F">
        <w:rPr>
          <w:rFonts w:ascii="PermianSerifTypeface" w:hAnsi="PermianSerifTypeface" w:cs="Arial"/>
          <w:sz w:val="24"/>
          <w:szCs w:val="24"/>
          <w:lang w:val="ro-RO"/>
        </w:rPr>
        <w:t>prestator</w:t>
      </w:r>
      <w:r w:rsidR="00943933" w:rsidRPr="00943933">
        <w:rPr>
          <w:rFonts w:ascii="PermianSerifTypeface" w:hAnsi="PermianSerifTypeface" w:cs="Arial"/>
          <w:sz w:val="24"/>
          <w:szCs w:val="24"/>
          <w:lang w:val="ro-RO"/>
        </w:rPr>
        <w:t>ilor</w:t>
      </w:r>
      <w:r w:rsidR="002A334A" w:rsidRPr="00F3596F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2A334A" w:rsidRPr="00554403">
        <w:rPr>
          <w:rFonts w:ascii="PermianSerifTypeface" w:hAnsi="PermianSerifTypeface" w:cs="Arial"/>
          <w:sz w:val="24"/>
          <w:szCs w:val="24"/>
          <w:lang w:val="ro-RO"/>
        </w:rPr>
        <w:t>de servicii de plată nebancar</w:t>
      </w:r>
      <w:r w:rsidR="0078630D">
        <w:rPr>
          <w:rFonts w:ascii="PermianSerifTypeface" w:hAnsi="PermianSerifTypeface" w:cs="Arial"/>
          <w:sz w:val="24"/>
          <w:szCs w:val="24"/>
          <w:lang w:val="ro-RO"/>
        </w:rPr>
        <w:t>i</w:t>
      </w:r>
      <w:r w:rsidR="002A334A" w:rsidRPr="0055440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>(</w:t>
      </w:r>
      <w:hyperlink r:id="rId9" w:history="1">
        <w:r w:rsidRPr="000067D1">
          <w:rPr>
            <w:rStyle w:val="Hyperlink"/>
            <w:rFonts w:ascii="PermianSerifTypeface" w:hAnsi="PermianSerifTypeface" w:cs="Arial"/>
            <w:sz w:val="24"/>
            <w:szCs w:val="24"/>
            <w:lang w:val="ro-RO"/>
          </w:rPr>
          <w:t>se anexează</w:t>
        </w:r>
      </w:hyperlink>
      <w:r w:rsidRPr="00554403">
        <w:rPr>
          <w:rFonts w:ascii="PermianSerifTypeface" w:hAnsi="PermianSerifTypeface" w:cs="Arial"/>
          <w:sz w:val="24"/>
          <w:szCs w:val="24"/>
          <w:lang w:val="ro-RO"/>
        </w:rPr>
        <w:t>).</w:t>
      </w:r>
    </w:p>
    <w:p w14:paraId="79850467" w14:textId="7DEC4DC6" w:rsidR="001F4BDF" w:rsidRPr="00694ED0" w:rsidRDefault="001F4BDF" w:rsidP="00CD05C6">
      <w:pPr>
        <w:pStyle w:val="ListParagraph"/>
        <w:numPr>
          <w:ilvl w:val="0"/>
          <w:numId w:val="17"/>
        </w:numPr>
        <w:spacing w:after="0" w:line="240" w:lineRule="auto"/>
        <w:ind w:left="0" w:firstLine="425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1D00B7">
        <w:rPr>
          <w:rFonts w:ascii="PermianSerifTypeface" w:hAnsi="PermianSerifTypeface" w:cs="Arial"/>
          <w:sz w:val="24"/>
          <w:szCs w:val="24"/>
          <w:lang w:val="ro-RO"/>
        </w:rPr>
        <w:t xml:space="preserve">Cererile </w:t>
      </w:r>
      <w:r w:rsidR="001D00B7" w:rsidRPr="001D00B7">
        <w:rPr>
          <w:rFonts w:ascii="PermianSerifTypeface" w:hAnsi="PermianSerifTypeface" w:cs="Arial"/>
          <w:sz w:val="24"/>
          <w:szCs w:val="24"/>
          <w:lang w:val="ro-RO"/>
        </w:rPr>
        <w:t>și</w:t>
      </w:r>
      <w:r w:rsidRPr="001D00B7">
        <w:rPr>
          <w:rFonts w:ascii="PermianSerifTypeface" w:hAnsi="PermianSerifTypeface" w:cs="Arial"/>
          <w:sz w:val="24"/>
          <w:szCs w:val="24"/>
          <w:lang w:val="ro-RO"/>
        </w:rPr>
        <w:t xml:space="preserve"> documentele prezentate la Banca </w:t>
      </w:r>
      <w:r w:rsidR="001D00B7" w:rsidRPr="001D00B7">
        <w:rPr>
          <w:rFonts w:ascii="PermianSerifTypeface" w:hAnsi="PermianSerifTypeface" w:cs="Arial"/>
          <w:sz w:val="24"/>
          <w:szCs w:val="24"/>
          <w:lang w:val="ro-RO"/>
        </w:rPr>
        <w:t>Națională</w:t>
      </w:r>
      <w:r w:rsidRPr="001D00B7">
        <w:rPr>
          <w:rFonts w:ascii="PermianSerifTypeface" w:hAnsi="PermianSerifTypeface" w:cs="Arial"/>
          <w:sz w:val="24"/>
          <w:szCs w:val="24"/>
          <w:lang w:val="ro-RO"/>
        </w:rPr>
        <w:t xml:space="preserve"> a Moldovei </w:t>
      </w:r>
      <w:r w:rsidR="001D00B7" w:rsidRPr="001D00B7">
        <w:rPr>
          <w:rFonts w:ascii="PermianSerifTypeface" w:hAnsi="PermianSerifTypeface" w:cs="Arial"/>
          <w:sz w:val="24"/>
          <w:szCs w:val="24"/>
          <w:lang w:val="ro-RO"/>
        </w:rPr>
        <w:t>și</w:t>
      </w:r>
      <w:r w:rsidRPr="001D00B7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1D00B7" w:rsidRPr="001D00B7">
        <w:rPr>
          <w:rFonts w:ascii="PermianSerifTypeface" w:hAnsi="PermianSerifTypeface" w:cs="Arial"/>
          <w:sz w:val="24"/>
          <w:szCs w:val="24"/>
          <w:lang w:val="ro-RO"/>
        </w:rPr>
        <w:t>nesoluționate</w:t>
      </w:r>
      <w:r w:rsidRPr="001D00B7">
        <w:rPr>
          <w:rFonts w:ascii="PermianSerifTypeface" w:hAnsi="PermianSerifTypeface" w:cs="Arial"/>
          <w:sz w:val="24"/>
          <w:szCs w:val="24"/>
          <w:lang w:val="ro-RO"/>
        </w:rPr>
        <w:t xml:space="preserve"> la data intrării în vigoare a prezentei hotărâri se examinează </w:t>
      </w:r>
      <w:r w:rsidR="001D00B7" w:rsidRPr="001D00B7">
        <w:rPr>
          <w:rFonts w:ascii="PermianSerifTypeface" w:hAnsi="PermianSerifTypeface" w:cs="Arial"/>
          <w:sz w:val="24"/>
          <w:szCs w:val="24"/>
          <w:lang w:val="ro-RO"/>
        </w:rPr>
        <w:t>și</w:t>
      </w:r>
      <w:r w:rsidRPr="001D00B7">
        <w:rPr>
          <w:rFonts w:ascii="PermianSerifTypeface" w:hAnsi="PermianSerifTypeface" w:cs="Arial"/>
          <w:sz w:val="24"/>
          <w:szCs w:val="24"/>
          <w:lang w:val="ro-RO"/>
        </w:rPr>
        <w:t xml:space="preserve"> se </w:t>
      </w:r>
      <w:r w:rsidR="001D00B7" w:rsidRPr="001D00B7">
        <w:rPr>
          <w:rFonts w:ascii="PermianSerifTypeface" w:hAnsi="PermianSerifTypeface" w:cs="Arial"/>
          <w:sz w:val="24"/>
          <w:szCs w:val="24"/>
          <w:lang w:val="ro-RO"/>
        </w:rPr>
        <w:t>soluționează</w:t>
      </w:r>
      <w:r w:rsidRPr="001D00B7">
        <w:rPr>
          <w:rFonts w:ascii="PermianSerifTypeface" w:hAnsi="PermianSerifTypeface" w:cs="Arial"/>
          <w:sz w:val="24"/>
          <w:szCs w:val="24"/>
          <w:lang w:val="ro-RO"/>
        </w:rPr>
        <w:t xml:space="preserve"> în conformitate cu prevederile regulamentului indicat la punctul 1, cu </w:t>
      </w:r>
      <w:r w:rsidR="001D00B7" w:rsidRPr="001D00B7">
        <w:rPr>
          <w:rFonts w:ascii="PermianSerifTypeface" w:hAnsi="PermianSerifTypeface" w:cs="Arial"/>
          <w:sz w:val="24"/>
          <w:szCs w:val="24"/>
          <w:lang w:val="ro-RO"/>
        </w:rPr>
        <w:t>condiția</w:t>
      </w:r>
      <w:r w:rsidRPr="001D00B7">
        <w:rPr>
          <w:rFonts w:ascii="PermianSerifTypeface" w:hAnsi="PermianSerifTypeface" w:cs="Arial"/>
          <w:sz w:val="24"/>
          <w:szCs w:val="24"/>
          <w:lang w:val="ro-RO"/>
        </w:rPr>
        <w:t xml:space="preserve"> completării acestora de către </w:t>
      </w:r>
      <w:r w:rsidR="001D00B7" w:rsidRPr="001D00B7">
        <w:rPr>
          <w:rFonts w:ascii="PermianSerifTypeface" w:hAnsi="PermianSerifTypeface" w:cs="Arial"/>
          <w:sz w:val="24"/>
          <w:szCs w:val="24"/>
          <w:lang w:val="ro-RO"/>
        </w:rPr>
        <w:t>prestatorii de servicii de plată nebancari</w:t>
      </w:r>
      <w:r w:rsidRPr="001D00B7">
        <w:rPr>
          <w:rFonts w:ascii="PermianSerifTypeface" w:hAnsi="PermianSerifTypeface" w:cs="Arial"/>
          <w:sz w:val="24"/>
          <w:szCs w:val="24"/>
          <w:lang w:val="ro-RO"/>
        </w:rPr>
        <w:t xml:space="preserve">  în termen de cel mult</w:t>
      </w:r>
      <w:r w:rsidR="009F2E7F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B20694" w:rsidRPr="009F2E7F">
        <w:rPr>
          <w:rFonts w:ascii="PermianSerifTypeface" w:hAnsi="PermianSerifTypeface" w:cs="Arial"/>
          <w:sz w:val="24"/>
          <w:szCs w:val="24"/>
          <w:lang w:val="ro-RO"/>
        </w:rPr>
        <w:t>30</w:t>
      </w:r>
      <w:r w:rsidR="009F2E7F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Pr="001D00B7">
        <w:rPr>
          <w:rFonts w:ascii="PermianSerifTypeface" w:hAnsi="PermianSerifTypeface" w:cs="Arial"/>
          <w:sz w:val="24"/>
          <w:szCs w:val="24"/>
          <w:lang w:val="ro-RO"/>
        </w:rPr>
        <w:t xml:space="preserve">zile de la data intrării în vigoare a prezentei hotărâri. Cererea </w:t>
      </w:r>
      <w:r w:rsidR="001D00B7" w:rsidRPr="001D00B7">
        <w:rPr>
          <w:rFonts w:ascii="PermianSerifTypeface" w:hAnsi="PermianSerifTypeface" w:cs="Arial"/>
          <w:sz w:val="24"/>
          <w:szCs w:val="24"/>
          <w:lang w:val="ro-RO"/>
        </w:rPr>
        <w:t>și</w:t>
      </w:r>
      <w:r w:rsidRPr="001D00B7">
        <w:rPr>
          <w:rFonts w:ascii="PermianSerifTypeface" w:hAnsi="PermianSerifTypeface" w:cs="Arial"/>
          <w:sz w:val="24"/>
          <w:szCs w:val="24"/>
          <w:lang w:val="ro-RO"/>
        </w:rPr>
        <w:t xml:space="preserve"> documentele se examinează în conformitate cu termen</w:t>
      </w:r>
      <w:r w:rsidR="001D00B7">
        <w:rPr>
          <w:rFonts w:ascii="PermianSerifTypeface" w:hAnsi="PermianSerifTypeface" w:cs="Arial"/>
          <w:sz w:val="24"/>
          <w:szCs w:val="24"/>
          <w:lang w:val="ro-RO"/>
        </w:rPr>
        <w:t>ul</w:t>
      </w:r>
      <w:r w:rsidRPr="001D00B7">
        <w:rPr>
          <w:rFonts w:ascii="PermianSerifTypeface" w:hAnsi="PermianSerifTypeface" w:cs="Arial"/>
          <w:sz w:val="24"/>
          <w:szCs w:val="24"/>
          <w:lang w:val="ro-RO"/>
        </w:rPr>
        <w:t xml:space="preserve"> stabilit în punct</w:t>
      </w:r>
      <w:r w:rsidR="001D00B7">
        <w:rPr>
          <w:rFonts w:ascii="PermianSerifTypeface" w:hAnsi="PermianSerifTypeface" w:cs="Arial"/>
          <w:sz w:val="24"/>
          <w:szCs w:val="24"/>
          <w:lang w:val="ro-RO"/>
        </w:rPr>
        <w:t>ul</w:t>
      </w:r>
      <w:r w:rsidRPr="001D00B7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1D00B7">
        <w:rPr>
          <w:rFonts w:ascii="PermianSerifTypeface" w:hAnsi="PermianSerifTypeface" w:cs="Arial"/>
          <w:sz w:val="24"/>
          <w:szCs w:val="24"/>
          <w:lang w:val="ro-RO"/>
        </w:rPr>
        <w:t xml:space="preserve">13 </w:t>
      </w:r>
      <w:r w:rsidRPr="001D00B7">
        <w:rPr>
          <w:rFonts w:ascii="PermianSerifTypeface" w:hAnsi="PermianSerifTypeface" w:cs="Arial"/>
          <w:sz w:val="24"/>
          <w:szCs w:val="24"/>
          <w:lang w:val="ro-RO"/>
        </w:rPr>
        <w:t xml:space="preserve">din </w:t>
      </w:r>
      <w:r w:rsidR="000D1CF6">
        <w:rPr>
          <w:rFonts w:ascii="PermianSerifTypeface" w:hAnsi="PermianSerifTypeface" w:cs="Arial"/>
          <w:sz w:val="24"/>
          <w:szCs w:val="24"/>
          <w:lang w:val="ro-RO"/>
        </w:rPr>
        <w:t>R</w:t>
      </w:r>
      <w:r w:rsidRPr="001D00B7">
        <w:rPr>
          <w:rFonts w:ascii="PermianSerifTypeface" w:hAnsi="PermianSerifTypeface" w:cs="Arial"/>
          <w:sz w:val="24"/>
          <w:szCs w:val="24"/>
          <w:lang w:val="ro-RO"/>
        </w:rPr>
        <w:t xml:space="preserve">egulamentul indicat la punctul 1, calculat de la </w:t>
      </w:r>
      <w:r w:rsidR="001D00B7">
        <w:rPr>
          <w:rFonts w:ascii="PermianSerifTypeface" w:hAnsi="PermianSerifTypeface" w:cs="Arial"/>
          <w:sz w:val="24"/>
          <w:szCs w:val="24"/>
          <w:lang w:val="ro-RO"/>
        </w:rPr>
        <w:t>prezentarea</w:t>
      </w:r>
      <w:r w:rsidRPr="001D00B7">
        <w:rPr>
          <w:rFonts w:ascii="PermianSerifTypeface" w:hAnsi="PermianSerifTypeface" w:cs="Arial"/>
          <w:sz w:val="24"/>
          <w:szCs w:val="24"/>
          <w:lang w:val="ro-RO"/>
        </w:rPr>
        <w:t xml:space="preserve"> setului</w:t>
      </w:r>
      <w:r w:rsidR="001D00B7">
        <w:rPr>
          <w:rFonts w:ascii="PermianSerifTypeface" w:hAnsi="PermianSerifTypeface" w:cs="Arial"/>
          <w:sz w:val="24"/>
          <w:szCs w:val="24"/>
          <w:lang w:val="ro-RO"/>
        </w:rPr>
        <w:t xml:space="preserve"> complet </w:t>
      </w:r>
      <w:r w:rsidRPr="001D00B7">
        <w:rPr>
          <w:rFonts w:ascii="PermianSerifTypeface" w:hAnsi="PermianSerifTypeface" w:cs="Arial"/>
          <w:sz w:val="24"/>
          <w:szCs w:val="24"/>
          <w:lang w:val="ro-RO"/>
        </w:rPr>
        <w:t xml:space="preserve"> de documente. În cazul în care cererea </w:t>
      </w:r>
      <w:r w:rsidR="001D00B7" w:rsidRPr="001D00B7">
        <w:rPr>
          <w:rFonts w:ascii="PermianSerifTypeface" w:hAnsi="PermianSerifTypeface" w:cs="Arial"/>
          <w:sz w:val="24"/>
          <w:szCs w:val="24"/>
          <w:lang w:val="ro-RO"/>
        </w:rPr>
        <w:t>și</w:t>
      </w:r>
      <w:r w:rsidRPr="001D00B7">
        <w:rPr>
          <w:rFonts w:ascii="PermianSerifTypeface" w:hAnsi="PermianSerifTypeface" w:cs="Arial"/>
          <w:sz w:val="24"/>
          <w:szCs w:val="24"/>
          <w:lang w:val="ro-RO"/>
        </w:rPr>
        <w:t xml:space="preserve"> documentele anexate nu sunt </w:t>
      </w:r>
      <w:r w:rsidR="006B2D1E">
        <w:rPr>
          <w:rFonts w:ascii="PermianSerifTypeface" w:hAnsi="PermianSerifTypeface" w:cs="Arial"/>
          <w:sz w:val="24"/>
          <w:szCs w:val="24"/>
          <w:lang w:val="ro-RO"/>
        </w:rPr>
        <w:t>completate</w:t>
      </w:r>
      <w:r w:rsidRPr="001D00B7">
        <w:rPr>
          <w:rFonts w:ascii="PermianSerifTypeface" w:hAnsi="PermianSerifTypeface" w:cs="Arial"/>
          <w:sz w:val="24"/>
          <w:szCs w:val="24"/>
          <w:lang w:val="ro-RO"/>
        </w:rPr>
        <w:t xml:space="preserve"> în termenul specificat, Banca </w:t>
      </w:r>
      <w:r w:rsidR="001D00B7" w:rsidRPr="001D00B7">
        <w:rPr>
          <w:rFonts w:ascii="PermianSerifTypeface" w:hAnsi="PermianSerifTypeface" w:cs="Arial"/>
          <w:sz w:val="24"/>
          <w:szCs w:val="24"/>
          <w:lang w:val="ro-RO"/>
        </w:rPr>
        <w:t>Națională</w:t>
      </w:r>
      <w:r w:rsidRPr="001D00B7">
        <w:rPr>
          <w:rFonts w:ascii="PermianSerifTypeface" w:hAnsi="PermianSerifTypeface" w:cs="Arial"/>
          <w:sz w:val="24"/>
          <w:szCs w:val="24"/>
          <w:lang w:val="ro-RO"/>
        </w:rPr>
        <w:t xml:space="preserve"> a Moldovei informează solicitantul despre încetarea procedurii administrative</w:t>
      </w:r>
      <w:r w:rsidR="009F2E7F">
        <w:rPr>
          <w:rFonts w:ascii="PermianSerifTypeface" w:hAnsi="PermianSerifTypeface" w:cs="Arial"/>
          <w:sz w:val="24"/>
          <w:szCs w:val="24"/>
          <w:lang w:val="ro-RO"/>
        </w:rPr>
        <w:t>.</w:t>
      </w:r>
    </w:p>
    <w:p w14:paraId="65E82D18" w14:textId="01CC9604" w:rsidR="005951D9" w:rsidRDefault="005951D9" w:rsidP="0017370C">
      <w:pPr>
        <w:pStyle w:val="ListParagraph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5951D9">
        <w:rPr>
          <w:rFonts w:ascii="PermianSerifTypeface" w:hAnsi="PermianSerifTypeface" w:cs="Arial"/>
          <w:sz w:val="24"/>
          <w:szCs w:val="24"/>
          <w:lang w:val="ro-RO"/>
        </w:rPr>
        <w:t xml:space="preserve">Hotărârea Comitetului </w:t>
      </w:r>
      <w:r w:rsidR="00A1231F">
        <w:rPr>
          <w:rFonts w:ascii="PermianSerifTypeface" w:hAnsi="PermianSerifTypeface" w:cs="Arial"/>
          <w:sz w:val="24"/>
          <w:szCs w:val="24"/>
          <w:lang w:val="ro-RO"/>
        </w:rPr>
        <w:t xml:space="preserve"> e</w:t>
      </w:r>
      <w:r w:rsidRPr="005951D9">
        <w:rPr>
          <w:rFonts w:ascii="PermianSerifTypeface" w:hAnsi="PermianSerifTypeface" w:cs="Arial"/>
          <w:sz w:val="24"/>
          <w:szCs w:val="24"/>
          <w:lang w:val="ro-RO"/>
        </w:rPr>
        <w:t xml:space="preserve">xecutiv al Băncii Naționale a Moldovei nr. 11/2024 </w:t>
      </w:r>
      <w:r w:rsidR="002A5EB3">
        <w:rPr>
          <w:rFonts w:ascii="PermianSerifTypeface" w:hAnsi="PermianSerifTypeface" w:cs="Arial"/>
          <w:sz w:val="24"/>
          <w:szCs w:val="24"/>
          <w:lang w:val="ro-RO"/>
        </w:rPr>
        <w:t>p</w:t>
      </w:r>
      <w:r w:rsidRPr="002A5EB3">
        <w:rPr>
          <w:rFonts w:ascii="PermianSerifTypeface" w:hAnsi="PermianSerifTypeface" w:cs="Arial"/>
          <w:sz w:val="24"/>
          <w:szCs w:val="24"/>
          <w:lang w:val="ro-RO"/>
        </w:rPr>
        <w:t xml:space="preserve">entru aprobarea Regulamentului cu privire la licențierea și înregistrarea societăților de plată, a societăților emitente de monedă electronică și a furnizorilor de servicii poștale în calitate de prestatori de servicii de plată și/sau emitenți de monedă electronică </w:t>
      </w:r>
      <w:r w:rsidRPr="005951D9">
        <w:rPr>
          <w:rFonts w:ascii="PermianSerifTypeface" w:hAnsi="PermianSerifTypeface" w:cs="Arial"/>
          <w:sz w:val="24"/>
          <w:szCs w:val="24"/>
          <w:lang w:val="ro-RO"/>
        </w:rPr>
        <w:t>(Monitorul Oficial al Republicii Moldova, 20</w:t>
      </w:r>
      <w:r>
        <w:rPr>
          <w:rFonts w:ascii="PermianSerifTypeface" w:hAnsi="PermianSerifTypeface" w:cs="Arial"/>
          <w:sz w:val="24"/>
          <w:szCs w:val="24"/>
          <w:lang w:val="ro-RO"/>
        </w:rPr>
        <w:t>24</w:t>
      </w:r>
      <w:r w:rsidRPr="005951D9">
        <w:rPr>
          <w:rFonts w:ascii="PermianSerifTypeface" w:hAnsi="PermianSerifTypeface" w:cs="Arial"/>
          <w:sz w:val="24"/>
          <w:szCs w:val="24"/>
          <w:lang w:val="ro-RO"/>
        </w:rPr>
        <w:t xml:space="preserve">, nr. </w:t>
      </w:r>
      <w:r>
        <w:rPr>
          <w:rFonts w:ascii="PermianSerifTypeface" w:hAnsi="PermianSerifTypeface" w:cs="Arial"/>
          <w:sz w:val="24"/>
          <w:szCs w:val="24"/>
          <w:lang w:val="ro-RO"/>
        </w:rPr>
        <w:t>36</w:t>
      </w:r>
      <w:r w:rsidRPr="005951D9">
        <w:rPr>
          <w:rFonts w:ascii="PermianSerifTypeface" w:hAnsi="PermianSerifTypeface" w:cs="Arial"/>
          <w:sz w:val="24"/>
          <w:szCs w:val="24"/>
          <w:lang w:val="ro-RO"/>
        </w:rPr>
        <w:t>-</w:t>
      </w:r>
      <w:r>
        <w:rPr>
          <w:rFonts w:ascii="PermianSerifTypeface" w:hAnsi="PermianSerifTypeface" w:cs="Arial"/>
          <w:sz w:val="24"/>
          <w:szCs w:val="24"/>
          <w:lang w:val="ro-RO"/>
        </w:rPr>
        <w:t>39</w:t>
      </w:r>
      <w:r w:rsidRPr="005951D9">
        <w:rPr>
          <w:rFonts w:ascii="PermianSerifTypeface" w:hAnsi="PermianSerifTypeface" w:cs="Arial"/>
          <w:sz w:val="24"/>
          <w:szCs w:val="24"/>
          <w:lang w:val="ro-RO"/>
        </w:rPr>
        <w:t xml:space="preserve">, art. </w:t>
      </w:r>
      <w:r>
        <w:rPr>
          <w:rFonts w:ascii="PermianSerifTypeface" w:hAnsi="PermianSerifTypeface" w:cs="Arial"/>
          <w:sz w:val="24"/>
          <w:szCs w:val="24"/>
          <w:lang w:val="ro-RO"/>
        </w:rPr>
        <w:t>89</w:t>
      </w:r>
      <w:r w:rsidRPr="005951D9">
        <w:rPr>
          <w:rFonts w:ascii="PermianSerifTypeface" w:hAnsi="PermianSerifTypeface" w:cs="Arial"/>
          <w:sz w:val="24"/>
          <w:szCs w:val="24"/>
          <w:lang w:val="ro-RO"/>
        </w:rPr>
        <w:t>), înregistrată la Ministerul Justiției al Republicii Moldova cu nr. 1</w:t>
      </w:r>
      <w:r>
        <w:rPr>
          <w:rFonts w:ascii="PermianSerifTypeface" w:hAnsi="PermianSerifTypeface" w:cs="Arial"/>
          <w:sz w:val="24"/>
          <w:szCs w:val="24"/>
          <w:lang w:val="ro-RO"/>
        </w:rPr>
        <w:t>904</w:t>
      </w:r>
      <w:r w:rsidRPr="005951D9">
        <w:rPr>
          <w:rFonts w:ascii="PermianSerifTypeface" w:hAnsi="PermianSerifTypeface" w:cs="Arial"/>
          <w:sz w:val="24"/>
          <w:szCs w:val="24"/>
          <w:lang w:val="ro-RO"/>
        </w:rPr>
        <w:t xml:space="preserve"> din 19 </w:t>
      </w:r>
      <w:r>
        <w:rPr>
          <w:rFonts w:ascii="PermianSerifTypeface" w:hAnsi="PermianSerifTypeface" w:cs="Arial"/>
          <w:sz w:val="24"/>
          <w:szCs w:val="24"/>
          <w:lang w:val="ro-RO"/>
        </w:rPr>
        <w:t>ianuarie</w:t>
      </w:r>
      <w:r w:rsidRPr="005951D9">
        <w:rPr>
          <w:rFonts w:ascii="PermianSerifTypeface" w:hAnsi="PermianSerifTypeface" w:cs="Arial"/>
          <w:sz w:val="24"/>
          <w:szCs w:val="24"/>
          <w:lang w:val="ro-RO"/>
        </w:rPr>
        <w:t xml:space="preserve"> 20</w:t>
      </w:r>
      <w:r>
        <w:rPr>
          <w:rFonts w:ascii="PermianSerifTypeface" w:hAnsi="PermianSerifTypeface" w:cs="Arial"/>
          <w:sz w:val="24"/>
          <w:szCs w:val="24"/>
          <w:lang w:val="ro-RO"/>
        </w:rPr>
        <w:t>24</w:t>
      </w:r>
      <w:r w:rsidRPr="005951D9">
        <w:rPr>
          <w:rFonts w:ascii="PermianSerifTypeface" w:hAnsi="PermianSerifTypeface" w:cs="Arial"/>
          <w:sz w:val="24"/>
          <w:szCs w:val="24"/>
          <w:lang w:val="ro-RO"/>
        </w:rPr>
        <w:t>, se modifică după cum urmează:</w:t>
      </w:r>
    </w:p>
    <w:p w14:paraId="6099F090" w14:textId="34CB2AB0" w:rsidR="002A5EB3" w:rsidRDefault="002A5EB3" w:rsidP="00C27B20">
      <w:pPr>
        <w:pStyle w:val="ListParagraph"/>
        <w:numPr>
          <w:ilvl w:val="1"/>
          <w:numId w:val="17"/>
        </w:numPr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C27B20">
        <w:rPr>
          <w:rFonts w:ascii="PermianSerifTypeface" w:hAnsi="PermianSerifTypeface" w:cs="Arial"/>
          <w:sz w:val="24"/>
          <w:szCs w:val="24"/>
          <w:lang w:val="ro-RO"/>
        </w:rPr>
        <w:t xml:space="preserve">La punctul 3 textul </w:t>
      </w:r>
      <w:r w:rsidR="00E46E41" w:rsidRPr="00C27B20">
        <w:rPr>
          <w:rFonts w:ascii="PermianSerifTypeface" w:hAnsi="PermianSerifTypeface" w:cs="Arial"/>
          <w:sz w:val="24"/>
          <w:szCs w:val="24"/>
          <w:lang w:val="ro-RO"/>
        </w:rPr>
        <w:t>„</w:t>
      </w:r>
      <w:r w:rsidRPr="00C27B20">
        <w:rPr>
          <w:rFonts w:ascii="PermianSerifTypeface" w:hAnsi="PermianSerifTypeface" w:cs="Arial"/>
          <w:sz w:val="24"/>
          <w:szCs w:val="24"/>
          <w:lang w:val="ro-RO"/>
        </w:rPr>
        <w:t>05.08.2024” se substituie cu textul ”01.02.2025”</w:t>
      </w:r>
      <w:r w:rsidR="00280958" w:rsidRPr="00C27B20">
        <w:rPr>
          <w:rFonts w:ascii="PermianSerifTypeface" w:hAnsi="PermianSerifTypeface" w:cs="Arial"/>
          <w:sz w:val="24"/>
          <w:szCs w:val="24"/>
          <w:lang w:val="ro-RO"/>
        </w:rPr>
        <w:t>;</w:t>
      </w:r>
    </w:p>
    <w:p w14:paraId="713178A0" w14:textId="77777777" w:rsidR="009F2E7F" w:rsidRPr="00CD05C6" w:rsidRDefault="009F2E7F" w:rsidP="00CD05C6">
      <w:pPr>
        <w:jc w:val="both"/>
        <w:rPr>
          <w:rFonts w:ascii="PermianSerifTypeface" w:hAnsi="PermianSerifTypeface" w:cs="Arial"/>
          <w:sz w:val="24"/>
          <w:szCs w:val="24"/>
          <w:lang w:val="ro-RO"/>
        </w:rPr>
      </w:pPr>
    </w:p>
    <w:p w14:paraId="2E557C47" w14:textId="0CA1C339" w:rsidR="00280958" w:rsidRPr="00C27B20" w:rsidRDefault="00280958" w:rsidP="00C27B20">
      <w:pPr>
        <w:pStyle w:val="ListParagraph"/>
        <w:numPr>
          <w:ilvl w:val="1"/>
          <w:numId w:val="17"/>
        </w:numPr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C27B20">
        <w:rPr>
          <w:rFonts w:ascii="PermianSerifTypeface" w:hAnsi="PermianSerifTypeface" w:cs="Arial"/>
          <w:sz w:val="24"/>
          <w:szCs w:val="24"/>
          <w:lang w:val="ro-RO"/>
        </w:rPr>
        <w:t xml:space="preserve">Anexa: </w:t>
      </w:r>
    </w:p>
    <w:p w14:paraId="7938ED34" w14:textId="0E2ACDF5" w:rsidR="005951D9" w:rsidRDefault="005951D9" w:rsidP="00C27B20">
      <w:pPr>
        <w:pStyle w:val="ListParagraph"/>
        <w:numPr>
          <w:ilvl w:val="2"/>
          <w:numId w:val="17"/>
        </w:numPr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>
        <w:rPr>
          <w:rFonts w:ascii="PermianSerifTypeface" w:hAnsi="PermianSerifTypeface" w:cs="Arial"/>
          <w:sz w:val="24"/>
          <w:szCs w:val="24"/>
          <w:lang w:val="ro-RO"/>
        </w:rPr>
        <w:t>La punctul 34</w:t>
      </w:r>
      <w:r w:rsidR="00D7326C">
        <w:rPr>
          <w:rFonts w:ascii="PermianSerifTypeface" w:hAnsi="PermianSerifTypeface" w:cs="Arial"/>
          <w:sz w:val="24"/>
          <w:szCs w:val="24"/>
          <w:lang w:val="ro-RO"/>
        </w:rPr>
        <w:t>,</w:t>
      </w:r>
      <w:r w:rsidR="002A5EB3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>
        <w:rPr>
          <w:rFonts w:ascii="PermianSerifTypeface" w:hAnsi="PermianSerifTypeface" w:cs="Arial"/>
          <w:sz w:val="24"/>
          <w:szCs w:val="24"/>
          <w:lang w:val="ro-RO"/>
        </w:rPr>
        <w:t>textul „Regulamentului nr. 197/2023 cu privire la participațiuni</w:t>
      </w:r>
      <w:r w:rsidR="00E727FF">
        <w:rPr>
          <w:rFonts w:ascii="PermianSerifTypeface" w:hAnsi="PermianSerifTypeface" w:cs="Arial"/>
          <w:sz w:val="24"/>
          <w:szCs w:val="24"/>
          <w:lang w:val="ro-RO"/>
        </w:rPr>
        <w:t xml:space="preserve"> în prestatorul de servicii de plată nebancar</w:t>
      </w:r>
      <w:r>
        <w:rPr>
          <w:rFonts w:ascii="PermianSerifTypeface" w:hAnsi="PermianSerifTypeface" w:cs="Arial"/>
          <w:sz w:val="24"/>
          <w:szCs w:val="24"/>
          <w:lang w:val="ro-RO"/>
        </w:rPr>
        <w:t xml:space="preserve">” se substituie cu textul „Regulamentului </w:t>
      </w:r>
      <w:r w:rsidR="00E727FF">
        <w:rPr>
          <w:rFonts w:ascii="PermianSerifTypeface" w:hAnsi="PermianSerifTypeface" w:cs="Arial"/>
          <w:sz w:val="24"/>
          <w:szCs w:val="24"/>
          <w:lang w:val="ro-RO"/>
        </w:rPr>
        <w:t xml:space="preserve">cu privire la participațiuni în prestatorii de servicii de plată nebancari, aprobat prin Hotărârea Comitetului executiv al Băncii Naționale a Moldovei </w:t>
      </w:r>
      <w:r>
        <w:rPr>
          <w:rFonts w:ascii="PermianSerifTypeface" w:hAnsi="PermianSerifTypeface" w:cs="Arial"/>
          <w:sz w:val="24"/>
          <w:szCs w:val="24"/>
          <w:lang w:val="ro-RO"/>
        </w:rPr>
        <w:t>nr. 9/2024”;</w:t>
      </w:r>
    </w:p>
    <w:p w14:paraId="009488A9" w14:textId="11ED9866" w:rsidR="00E727FF" w:rsidRPr="00472245" w:rsidRDefault="00E727FF" w:rsidP="00C27B20">
      <w:pPr>
        <w:pStyle w:val="ListParagraph"/>
        <w:numPr>
          <w:ilvl w:val="2"/>
          <w:numId w:val="17"/>
        </w:numPr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472245">
        <w:rPr>
          <w:rFonts w:ascii="PermianSerifTypeface" w:hAnsi="PermianSerifTypeface" w:cs="Arial"/>
          <w:sz w:val="24"/>
          <w:szCs w:val="24"/>
          <w:lang w:val="ro-RO"/>
        </w:rPr>
        <w:t>La punctul 57</w:t>
      </w:r>
      <w:r w:rsidR="002A5EB3" w:rsidRPr="00472245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Pr="00472245">
        <w:rPr>
          <w:rFonts w:ascii="PermianSerifTypeface" w:hAnsi="PermianSerifTypeface" w:cs="Arial"/>
          <w:sz w:val="24"/>
          <w:szCs w:val="24"/>
          <w:lang w:val="ro-RO"/>
        </w:rPr>
        <w:t>subpunctul 2)</w:t>
      </w:r>
      <w:r w:rsidR="00D7326C">
        <w:rPr>
          <w:rFonts w:ascii="PermianSerifTypeface" w:hAnsi="PermianSerifTypeface" w:cs="Arial"/>
          <w:sz w:val="24"/>
          <w:szCs w:val="24"/>
          <w:lang w:val="ro-RO"/>
        </w:rPr>
        <w:t>,</w:t>
      </w:r>
      <w:r w:rsidRPr="00472245">
        <w:rPr>
          <w:rFonts w:ascii="PermianSerifTypeface" w:hAnsi="PermianSerifTypeface" w:cs="Arial"/>
          <w:sz w:val="24"/>
          <w:szCs w:val="24"/>
          <w:lang w:val="ro-RO"/>
        </w:rPr>
        <w:t xml:space="preserve"> textul „Contabilul-șef” se substituie cu textul „Contabilul-șef al prestatorului de servicii de plată nebancar”;</w:t>
      </w:r>
    </w:p>
    <w:p w14:paraId="30C07264" w14:textId="258B4505" w:rsidR="00E727FF" w:rsidRPr="00472245" w:rsidRDefault="00280958" w:rsidP="00C27B20">
      <w:pPr>
        <w:pStyle w:val="ListParagraph"/>
        <w:numPr>
          <w:ilvl w:val="2"/>
          <w:numId w:val="17"/>
        </w:numPr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472245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E727FF" w:rsidRPr="00472245">
        <w:rPr>
          <w:rFonts w:ascii="PermianSerifTypeface" w:hAnsi="PermianSerifTypeface" w:cs="Arial"/>
          <w:sz w:val="24"/>
          <w:szCs w:val="24"/>
          <w:lang w:val="ro-RO"/>
        </w:rPr>
        <w:t>Punctul 67</w:t>
      </w:r>
      <w:r w:rsidR="00A3091E">
        <w:rPr>
          <w:rFonts w:ascii="PermianSerifTypeface" w:hAnsi="PermianSerifTypeface" w:cs="Arial"/>
          <w:sz w:val="24"/>
          <w:szCs w:val="24"/>
          <w:lang w:val="ro-RO"/>
        </w:rPr>
        <w:t>,</w:t>
      </w:r>
      <w:r w:rsidR="00E727FF" w:rsidRPr="00472245">
        <w:rPr>
          <w:rFonts w:ascii="PermianSerifTypeface" w:hAnsi="PermianSerifTypeface" w:cs="Arial"/>
          <w:sz w:val="24"/>
          <w:szCs w:val="24"/>
          <w:lang w:val="ro-RO"/>
        </w:rPr>
        <w:t xml:space="preserve"> textul „</w:t>
      </w:r>
      <w:r w:rsidR="00FE4130" w:rsidRPr="00FE4130">
        <w:rPr>
          <w:rFonts w:ascii="PermianSerifTypeface" w:hAnsi="PermianSerifTypeface" w:cs="Arial"/>
          <w:sz w:val="24"/>
          <w:szCs w:val="24"/>
          <w:lang w:val="ro-RO"/>
        </w:rPr>
        <w:t xml:space="preserve">adunarea generală a </w:t>
      </w:r>
      <w:r w:rsidR="009F2E7F" w:rsidRPr="00FE4130">
        <w:rPr>
          <w:rFonts w:ascii="PermianSerifTypeface" w:hAnsi="PermianSerifTypeface" w:cs="Arial"/>
          <w:sz w:val="24"/>
          <w:szCs w:val="24"/>
          <w:lang w:val="ro-RO"/>
        </w:rPr>
        <w:t>asociaților</w:t>
      </w:r>
      <w:r w:rsidR="00FE4130" w:rsidRPr="00FE4130">
        <w:rPr>
          <w:rFonts w:ascii="PermianSerifTypeface" w:hAnsi="PermianSerifTypeface" w:cs="Arial"/>
          <w:sz w:val="24"/>
          <w:szCs w:val="24"/>
          <w:lang w:val="ro-RO"/>
        </w:rPr>
        <w:t xml:space="preserve">/adunarea generală a </w:t>
      </w:r>
      <w:r w:rsidR="00CD05C6" w:rsidRPr="00FE4130">
        <w:rPr>
          <w:rFonts w:ascii="PermianSerifTypeface" w:hAnsi="PermianSerifTypeface" w:cs="Arial"/>
          <w:sz w:val="24"/>
          <w:szCs w:val="24"/>
          <w:lang w:val="ro-RO"/>
        </w:rPr>
        <w:t>acționarilor</w:t>
      </w:r>
      <w:r w:rsidR="00FE4130" w:rsidRPr="00FE4130">
        <w:rPr>
          <w:rFonts w:ascii="PermianSerifTypeface" w:hAnsi="PermianSerifTypeface" w:cs="Arial"/>
          <w:sz w:val="24"/>
          <w:szCs w:val="24"/>
          <w:lang w:val="ro-RO"/>
        </w:rPr>
        <w:t>/</w:t>
      </w:r>
      <w:r w:rsidR="00FE4B56">
        <w:rPr>
          <w:rFonts w:ascii="PermianSerifTypeface" w:hAnsi="PermianSerifTypeface" w:cs="Arial"/>
          <w:sz w:val="24"/>
          <w:szCs w:val="24"/>
          <w:lang w:val="ro-RO"/>
        </w:rPr>
        <w:t xml:space="preserve">consiliul” </w:t>
      </w:r>
      <w:r w:rsidR="00E727FF" w:rsidRPr="00472245">
        <w:rPr>
          <w:rFonts w:ascii="PermianSerifTypeface" w:hAnsi="PermianSerifTypeface" w:cs="Arial"/>
          <w:sz w:val="24"/>
          <w:szCs w:val="24"/>
          <w:lang w:val="ro-RO"/>
        </w:rPr>
        <w:t xml:space="preserve">se </w:t>
      </w:r>
      <w:r w:rsidR="00FE4B56">
        <w:rPr>
          <w:rFonts w:ascii="PermianSerifTypeface" w:hAnsi="PermianSerifTypeface" w:cs="Arial"/>
          <w:sz w:val="24"/>
          <w:szCs w:val="24"/>
          <w:lang w:val="ro-RO"/>
        </w:rPr>
        <w:t>substituie</w:t>
      </w:r>
      <w:r w:rsidR="00FE4B56" w:rsidRPr="00472245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E727FF" w:rsidRPr="00472245">
        <w:rPr>
          <w:rFonts w:ascii="PermianSerifTypeface" w:hAnsi="PermianSerifTypeface" w:cs="Arial"/>
          <w:sz w:val="24"/>
          <w:szCs w:val="24"/>
          <w:lang w:val="ro-RO"/>
        </w:rPr>
        <w:t>cu textul „organul de conducere/membrul organului de conducere</w:t>
      </w:r>
      <w:r w:rsidR="000A34C9">
        <w:rPr>
          <w:rFonts w:ascii="PermianSerifTypeface" w:hAnsi="PermianSerifTypeface" w:cs="Arial"/>
          <w:sz w:val="24"/>
          <w:szCs w:val="24"/>
          <w:lang w:val="ro-RO"/>
        </w:rPr>
        <w:t xml:space="preserve"> al</w:t>
      </w:r>
      <w:r w:rsidR="00E727FF" w:rsidRPr="00472245">
        <w:rPr>
          <w:rFonts w:ascii="PermianSerifTypeface" w:hAnsi="PermianSerifTypeface" w:cs="Arial"/>
          <w:sz w:val="24"/>
          <w:szCs w:val="24"/>
          <w:lang w:val="ro-RO"/>
        </w:rPr>
        <w:t>”;</w:t>
      </w:r>
    </w:p>
    <w:p w14:paraId="5E9A2478" w14:textId="16136BD0" w:rsidR="003A3DAC" w:rsidRDefault="0017370C" w:rsidP="00C27B20">
      <w:pPr>
        <w:pStyle w:val="ListParagraph"/>
        <w:numPr>
          <w:ilvl w:val="2"/>
          <w:numId w:val="17"/>
        </w:numPr>
        <w:tabs>
          <w:tab w:val="left" w:pos="851"/>
        </w:tabs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>
        <w:rPr>
          <w:rFonts w:ascii="PermianSerifTypeface" w:hAnsi="PermianSerifTypeface" w:cs="Arial"/>
          <w:sz w:val="24"/>
          <w:szCs w:val="24"/>
          <w:lang w:val="ro-RO"/>
        </w:rPr>
        <w:t xml:space="preserve">La punctul 2 subpunctul 6) din </w:t>
      </w:r>
      <w:r w:rsidR="00800F6B">
        <w:rPr>
          <w:rFonts w:ascii="PermianSerifTypeface" w:hAnsi="PermianSerifTypeface" w:cs="Arial"/>
          <w:sz w:val="24"/>
          <w:szCs w:val="24"/>
          <w:lang w:val="ro-RO"/>
        </w:rPr>
        <w:t>a</w:t>
      </w:r>
      <w:r>
        <w:rPr>
          <w:rFonts w:ascii="PermianSerifTypeface" w:hAnsi="PermianSerifTypeface" w:cs="Arial"/>
          <w:sz w:val="24"/>
          <w:szCs w:val="24"/>
          <w:lang w:val="ro-RO"/>
        </w:rPr>
        <w:t>nexa nr. 2 textul „subpunctele 1), 6), 8), 18)” se substituie cu textul „subpunctele 1), 5), 7), 16)”</w:t>
      </w:r>
      <w:r w:rsidR="00B26ACE">
        <w:rPr>
          <w:rFonts w:ascii="PermianSerifTypeface" w:hAnsi="PermianSerifTypeface" w:cs="Arial"/>
          <w:sz w:val="24"/>
          <w:szCs w:val="24"/>
          <w:lang w:val="ro-MD"/>
        </w:rPr>
        <w:t>;</w:t>
      </w:r>
    </w:p>
    <w:p w14:paraId="6DE01844" w14:textId="3C8DE54C" w:rsidR="005951D9" w:rsidRDefault="003A3DAC" w:rsidP="00C27B20">
      <w:pPr>
        <w:pStyle w:val="ListParagraph"/>
        <w:numPr>
          <w:ilvl w:val="2"/>
          <w:numId w:val="17"/>
        </w:numPr>
        <w:tabs>
          <w:tab w:val="left" w:pos="851"/>
        </w:tabs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472245">
        <w:rPr>
          <w:rFonts w:ascii="PermianSerifTypeface" w:hAnsi="PermianSerifTypeface" w:cs="Arial"/>
          <w:sz w:val="24"/>
          <w:szCs w:val="24"/>
          <w:lang w:val="ro-RO"/>
        </w:rPr>
        <w:t>La punctul 16 din Anexa nr. 1 textul „decât cele de la pct. 14” se substituie cu textul „decât cele de la pct. 15”</w:t>
      </w:r>
      <w:r w:rsidR="0017370C" w:rsidRPr="00472245">
        <w:rPr>
          <w:rFonts w:ascii="PermianSerifTypeface" w:hAnsi="PermianSerifTypeface" w:cs="Arial"/>
          <w:sz w:val="24"/>
          <w:szCs w:val="24"/>
          <w:lang w:val="ro-RO"/>
        </w:rPr>
        <w:t>;</w:t>
      </w:r>
    </w:p>
    <w:p w14:paraId="7B65F35B" w14:textId="1F354832" w:rsidR="006F53F2" w:rsidRDefault="007B22B9" w:rsidP="006F53F2">
      <w:pPr>
        <w:pStyle w:val="ListParagraph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>
        <w:rPr>
          <w:rFonts w:ascii="PermianSerifTypeface" w:hAnsi="PermianSerifTypeface" w:cs="Arial"/>
          <w:sz w:val="24"/>
          <w:szCs w:val="24"/>
          <w:lang w:val="ro-RO"/>
        </w:rPr>
        <w:t>La p</w:t>
      </w:r>
      <w:r w:rsidR="006F53F2">
        <w:rPr>
          <w:rFonts w:ascii="PermianSerifTypeface" w:hAnsi="PermianSerifTypeface" w:cs="Arial"/>
          <w:sz w:val="24"/>
          <w:szCs w:val="24"/>
          <w:lang w:val="ro-RO"/>
        </w:rPr>
        <w:t xml:space="preserve">unctul 2 din </w:t>
      </w:r>
      <w:r w:rsidR="006F53F2" w:rsidRPr="005951D9">
        <w:rPr>
          <w:rFonts w:ascii="PermianSerifTypeface" w:hAnsi="PermianSerifTypeface" w:cs="Arial"/>
          <w:sz w:val="24"/>
          <w:szCs w:val="24"/>
          <w:lang w:val="ro-RO"/>
        </w:rPr>
        <w:t xml:space="preserve">Hotărârea Comitetului </w:t>
      </w:r>
      <w:r w:rsidR="006F53F2">
        <w:rPr>
          <w:rFonts w:ascii="PermianSerifTypeface" w:hAnsi="PermianSerifTypeface" w:cs="Arial"/>
          <w:sz w:val="24"/>
          <w:szCs w:val="24"/>
          <w:lang w:val="ro-RO"/>
        </w:rPr>
        <w:t xml:space="preserve"> e</w:t>
      </w:r>
      <w:r w:rsidR="006F53F2" w:rsidRPr="005951D9">
        <w:rPr>
          <w:rFonts w:ascii="PermianSerifTypeface" w:hAnsi="PermianSerifTypeface" w:cs="Arial"/>
          <w:sz w:val="24"/>
          <w:szCs w:val="24"/>
          <w:lang w:val="ro-RO"/>
        </w:rPr>
        <w:t>xecutiv al Băncii Naționale a Moldovei nr. 1</w:t>
      </w:r>
      <w:r w:rsidR="006F53F2">
        <w:rPr>
          <w:rFonts w:ascii="PermianSerifTypeface" w:hAnsi="PermianSerifTypeface" w:cs="Arial"/>
          <w:sz w:val="24"/>
          <w:szCs w:val="24"/>
          <w:lang w:val="ro-RO"/>
        </w:rPr>
        <w:t>2</w:t>
      </w:r>
      <w:r w:rsidR="006F53F2" w:rsidRPr="005951D9">
        <w:rPr>
          <w:rFonts w:ascii="PermianSerifTypeface" w:hAnsi="PermianSerifTypeface" w:cs="Arial"/>
          <w:sz w:val="24"/>
          <w:szCs w:val="24"/>
          <w:lang w:val="ro-RO"/>
        </w:rPr>
        <w:t xml:space="preserve">/2024 </w:t>
      </w:r>
      <w:r w:rsidR="006F53F2">
        <w:rPr>
          <w:rFonts w:ascii="PermianSerifTypeface" w:hAnsi="PermianSerifTypeface" w:cs="Arial"/>
          <w:sz w:val="24"/>
          <w:szCs w:val="24"/>
          <w:lang w:val="ro-RO"/>
        </w:rPr>
        <w:t>p</w:t>
      </w:r>
      <w:r w:rsidR="006F53F2" w:rsidRPr="002A5EB3">
        <w:rPr>
          <w:rFonts w:ascii="PermianSerifTypeface" w:hAnsi="PermianSerifTypeface" w:cs="Arial"/>
          <w:sz w:val="24"/>
          <w:szCs w:val="24"/>
          <w:lang w:val="ro-RO"/>
        </w:rPr>
        <w:t>entru aprobarea Regulamentului cu privire la</w:t>
      </w:r>
      <w:r w:rsidR="006F53F2">
        <w:rPr>
          <w:rFonts w:ascii="PermianSerifTypeface" w:hAnsi="PermianSerifTypeface" w:cs="Arial"/>
          <w:sz w:val="24"/>
          <w:szCs w:val="24"/>
          <w:lang w:val="ro-RO"/>
        </w:rPr>
        <w:t xml:space="preserve"> autentificarea strictă a clienților și standar</w:t>
      </w:r>
      <w:r w:rsidR="00942B6E">
        <w:rPr>
          <w:rFonts w:ascii="PermianSerifTypeface" w:hAnsi="PermianSerifTypeface" w:cs="Arial"/>
          <w:sz w:val="24"/>
          <w:szCs w:val="24"/>
          <w:lang w:val="ro-RO"/>
        </w:rPr>
        <w:t>d</w:t>
      </w:r>
      <w:r w:rsidR="006F53F2">
        <w:rPr>
          <w:rFonts w:ascii="PermianSerifTypeface" w:hAnsi="PermianSerifTypeface" w:cs="Arial"/>
          <w:sz w:val="24"/>
          <w:szCs w:val="24"/>
          <w:lang w:val="ro-RO"/>
        </w:rPr>
        <w:t xml:space="preserve">ul deschis, comun și sigur de comunicare între prestatorii de servicii de plată </w:t>
      </w:r>
      <w:r w:rsidR="006F53F2" w:rsidRPr="005951D9">
        <w:rPr>
          <w:rFonts w:ascii="PermianSerifTypeface" w:hAnsi="PermianSerifTypeface" w:cs="Arial"/>
          <w:sz w:val="24"/>
          <w:szCs w:val="24"/>
          <w:lang w:val="ro-RO"/>
        </w:rPr>
        <w:t>(Monitorul Oficial al Republicii Moldova, 20</w:t>
      </w:r>
      <w:r w:rsidR="006F53F2">
        <w:rPr>
          <w:rFonts w:ascii="PermianSerifTypeface" w:hAnsi="PermianSerifTypeface" w:cs="Arial"/>
          <w:sz w:val="24"/>
          <w:szCs w:val="24"/>
          <w:lang w:val="ro-RO"/>
        </w:rPr>
        <w:t>24</w:t>
      </w:r>
      <w:r w:rsidR="006F53F2" w:rsidRPr="005951D9">
        <w:rPr>
          <w:rFonts w:ascii="PermianSerifTypeface" w:hAnsi="PermianSerifTypeface" w:cs="Arial"/>
          <w:sz w:val="24"/>
          <w:szCs w:val="24"/>
          <w:lang w:val="ro-RO"/>
        </w:rPr>
        <w:t xml:space="preserve">, nr. </w:t>
      </w:r>
      <w:r w:rsidR="006F53F2">
        <w:rPr>
          <w:rFonts w:ascii="PermianSerifTypeface" w:hAnsi="PermianSerifTypeface" w:cs="Arial"/>
          <w:sz w:val="24"/>
          <w:szCs w:val="24"/>
          <w:lang w:val="ro-RO"/>
        </w:rPr>
        <w:t>36</w:t>
      </w:r>
      <w:r w:rsidR="006F53F2" w:rsidRPr="005951D9">
        <w:rPr>
          <w:rFonts w:ascii="PermianSerifTypeface" w:hAnsi="PermianSerifTypeface" w:cs="Arial"/>
          <w:sz w:val="24"/>
          <w:szCs w:val="24"/>
          <w:lang w:val="ro-RO"/>
        </w:rPr>
        <w:t>-</w:t>
      </w:r>
      <w:r w:rsidR="006F53F2">
        <w:rPr>
          <w:rFonts w:ascii="PermianSerifTypeface" w:hAnsi="PermianSerifTypeface" w:cs="Arial"/>
          <w:sz w:val="24"/>
          <w:szCs w:val="24"/>
          <w:lang w:val="ro-RO"/>
        </w:rPr>
        <w:t>39</w:t>
      </w:r>
      <w:r w:rsidR="006F53F2" w:rsidRPr="005951D9">
        <w:rPr>
          <w:rFonts w:ascii="PermianSerifTypeface" w:hAnsi="PermianSerifTypeface" w:cs="Arial"/>
          <w:sz w:val="24"/>
          <w:szCs w:val="24"/>
          <w:lang w:val="ro-RO"/>
        </w:rPr>
        <w:t xml:space="preserve">, art. </w:t>
      </w:r>
      <w:r w:rsidR="006F53F2">
        <w:rPr>
          <w:rFonts w:ascii="PermianSerifTypeface" w:hAnsi="PermianSerifTypeface" w:cs="Arial"/>
          <w:sz w:val="24"/>
          <w:szCs w:val="24"/>
          <w:lang w:val="ro-RO"/>
        </w:rPr>
        <w:t>90</w:t>
      </w:r>
      <w:r w:rsidR="006F53F2" w:rsidRPr="005951D9">
        <w:rPr>
          <w:rFonts w:ascii="PermianSerifTypeface" w:hAnsi="PermianSerifTypeface" w:cs="Arial"/>
          <w:sz w:val="24"/>
          <w:szCs w:val="24"/>
          <w:lang w:val="ro-RO"/>
        </w:rPr>
        <w:t>), înregistrată la Ministerul Justiției al Republicii Moldova cu nr. 1</w:t>
      </w:r>
      <w:r w:rsidR="006F53F2">
        <w:rPr>
          <w:rFonts w:ascii="PermianSerifTypeface" w:hAnsi="PermianSerifTypeface" w:cs="Arial"/>
          <w:sz w:val="24"/>
          <w:szCs w:val="24"/>
          <w:lang w:val="ro-RO"/>
        </w:rPr>
        <w:t>905</w:t>
      </w:r>
      <w:r w:rsidR="006F53F2" w:rsidRPr="005951D9">
        <w:rPr>
          <w:rFonts w:ascii="PermianSerifTypeface" w:hAnsi="PermianSerifTypeface" w:cs="Arial"/>
          <w:sz w:val="24"/>
          <w:szCs w:val="24"/>
          <w:lang w:val="ro-RO"/>
        </w:rPr>
        <w:t xml:space="preserve"> din 19 </w:t>
      </w:r>
      <w:r w:rsidR="006F53F2">
        <w:rPr>
          <w:rFonts w:ascii="PermianSerifTypeface" w:hAnsi="PermianSerifTypeface" w:cs="Arial"/>
          <w:sz w:val="24"/>
          <w:szCs w:val="24"/>
          <w:lang w:val="ro-RO"/>
        </w:rPr>
        <w:t>ianuarie</w:t>
      </w:r>
      <w:r w:rsidR="006F53F2" w:rsidRPr="005951D9">
        <w:rPr>
          <w:rFonts w:ascii="PermianSerifTypeface" w:hAnsi="PermianSerifTypeface" w:cs="Arial"/>
          <w:sz w:val="24"/>
          <w:szCs w:val="24"/>
          <w:lang w:val="ro-RO"/>
        </w:rPr>
        <w:t xml:space="preserve"> 20</w:t>
      </w:r>
      <w:r w:rsidR="006F53F2">
        <w:rPr>
          <w:rFonts w:ascii="PermianSerifTypeface" w:hAnsi="PermianSerifTypeface" w:cs="Arial"/>
          <w:sz w:val="24"/>
          <w:szCs w:val="24"/>
          <w:lang w:val="ro-RO"/>
        </w:rPr>
        <w:t>24</w:t>
      </w:r>
      <w:r w:rsidR="006F53F2" w:rsidRPr="005951D9">
        <w:rPr>
          <w:rFonts w:ascii="PermianSerifTypeface" w:hAnsi="PermianSerifTypeface" w:cs="Arial"/>
          <w:sz w:val="24"/>
          <w:szCs w:val="24"/>
          <w:lang w:val="ro-RO"/>
        </w:rPr>
        <w:t xml:space="preserve">, </w:t>
      </w:r>
      <w:r w:rsidR="006F53F2" w:rsidRPr="006F53F2">
        <w:rPr>
          <w:rFonts w:ascii="PermianSerifTypeface" w:hAnsi="PermianSerifTypeface" w:cs="Arial"/>
          <w:sz w:val="24"/>
          <w:szCs w:val="24"/>
          <w:lang w:val="ro-RO"/>
        </w:rPr>
        <w:t xml:space="preserve">textul </w:t>
      </w:r>
      <w:r w:rsidR="00E27A84">
        <w:rPr>
          <w:rFonts w:ascii="PermianSerifTypeface" w:hAnsi="PermianSerifTypeface" w:cs="Arial"/>
          <w:sz w:val="24"/>
          <w:szCs w:val="24"/>
          <w:lang w:val="ro-RO"/>
        </w:rPr>
        <w:t>„</w:t>
      </w:r>
      <w:r w:rsidR="006F53F2" w:rsidRPr="006F53F2">
        <w:rPr>
          <w:rFonts w:ascii="PermianSerifTypeface" w:hAnsi="PermianSerifTypeface" w:cs="Arial"/>
          <w:sz w:val="24"/>
          <w:szCs w:val="24"/>
          <w:lang w:val="ro-RO"/>
        </w:rPr>
        <w:t>5</w:t>
      </w:r>
      <w:r w:rsidR="006F53F2">
        <w:rPr>
          <w:rFonts w:ascii="PermianSerifTypeface" w:hAnsi="PermianSerifTypeface" w:cs="Arial"/>
          <w:sz w:val="24"/>
          <w:szCs w:val="24"/>
          <w:lang w:val="ro-RO"/>
        </w:rPr>
        <w:t xml:space="preserve"> august </w:t>
      </w:r>
      <w:r w:rsidR="006F53F2" w:rsidRPr="006F53F2">
        <w:rPr>
          <w:rFonts w:ascii="PermianSerifTypeface" w:hAnsi="PermianSerifTypeface" w:cs="Arial"/>
          <w:sz w:val="24"/>
          <w:szCs w:val="24"/>
          <w:lang w:val="ro-RO"/>
        </w:rPr>
        <w:t xml:space="preserve">2024” se substituie cu textul </w:t>
      </w:r>
      <w:r w:rsidR="00E27A84">
        <w:rPr>
          <w:rFonts w:ascii="PermianSerifTypeface" w:hAnsi="PermianSerifTypeface" w:cs="Arial"/>
          <w:sz w:val="24"/>
          <w:szCs w:val="24"/>
          <w:lang w:val="ro-RO"/>
        </w:rPr>
        <w:t>„</w:t>
      </w:r>
      <w:r w:rsidR="00942B6E">
        <w:rPr>
          <w:rFonts w:ascii="PermianSerifTypeface" w:hAnsi="PermianSerifTypeface" w:cs="Arial"/>
          <w:sz w:val="24"/>
          <w:szCs w:val="24"/>
          <w:lang w:val="ro-RO"/>
        </w:rPr>
        <w:t xml:space="preserve">1 februarie </w:t>
      </w:r>
      <w:r w:rsidR="006F53F2" w:rsidRPr="006F53F2">
        <w:rPr>
          <w:rFonts w:ascii="PermianSerifTypeface" w:hAnsi="PermianSerifTypeface" w:cs="Arial"/>
          <w:sz w:val="24"/>
          <w:szCs w:val="24"/>
          <w:lang w:val="ro-RO"/>
        </w:rPr>
        <w:t>2025”;</w:t>
      </w:r>
    </w:p>
    <w:p w14:paraId="4D674B67" w14:textId="008AD112" w:rsidR="005124DC" w:rsidRPr="006F53F2" w:rsidRDefault="007B22B9" w:rsidP="006F53F2">
      <w:pPr>
        <w:pStyle w:val="ListParagraph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>
        <w:rPr>
          <w:rFonts w:ascii="PermianSerifTypeface" w:hAnsi="PermianSerifTypeface" w:cs="Arial"/>
          <w:sz w:val="24"/>
          <w:szCs w:val="24"/>
          <w:lang w:val="ro-RO"/>
        </w:rPr>
        <w:t>La p</w:t>
      </w:r>
      <w:r w:rsidR="005124DC">
        <w:rPr>
          <w:rFonts w:ascii="PermianSerifTypeface" w:hAnsi="PermianSerifTypeface" w:cs="Arial"/>
          <w:sz w:val="24"/>
          <w:szCs w:val="24"/>
          <w:lang w:val="ro-RO"/>
        </w:rPr>
        <w:t xml:space="preserve">unctul 2 din </w:t>
      </w:r>
      <w:r w:rsidR="005124DC" w:rsidRPr="005951D9">
        <w:rPr>
          <w:rFonts w:ascii="PermianSerifTypeface" w:hAnsi="PermianSerifTypeface" w:cs="Arial"/>
          <w:sz w:val="24"/>
          <w:szCs w:val="24"/>
          <w:lang w:val="ro-RO"/>
        </w:rPr>
        <w:t xml:space="preserve">Hotărârea Comitetului </w:t>
      </w:r>
      <w:r w:rsidR="005124DC">
        <w:rPr>
          <w:rFonts w:ascii="PermianSerifTypeface" w:hAnsi="PermianSerifTypeface" w:cs="Arial"/>
          <w:sz w:val="24"/>
          <w:szCs w:val="24"/>
          <w:lang w:val="ro-RO"/>
        </w:rPr>
        <w:t xml:space="preserve"> e</w:t>
      </w:r>
      <w:r w:rsidR="005124DC" w:rsidRPr="005951D9">
        <w:rPr>
          <w:rFonts w:ascii="PermianSerifTypeface" w:hAnsi="PermianSerifTypeface" w:cs="Arial"/>
          <w:sz w:val="24"/>
          <w:szCs w:val="24"/>
          <w:lang w:val="ro-RO"/>
        </w:rPr>
        <w:t>xecutiv al Băncii Naționale a Moldovei nr.</w:t>
      </w:r>
      <w:r w:rsidR="005124DC">
        <w:rPr>
          <w:rFonts w:ascii="PermianSerifTypeface" w:hAnsi="PermianSerifTypeface" w:cs="Arial"/>
          <w:sz w:val="24"/>
          <w:szCs w:val="24"/>
          <w:lang w:val="ro-RO"/>
        </w:rPr>
        <w:t xml:space="preserve"> 10/2024 pentru aprobarea </w:t>
      </w:r>
      <w:r w:rsidR="005124DC" w:rsidRPr="002A5EB3">
        <w:rPr>
          <w:rFonts w:ascii="PermianSerifTypeface" w:hAnsi="PermianSerifTypeface" w:cs="Arial"/>
          <w:sz w:val="24"/>
          <w:szCs w:val="24"/>
          <w:lang w:val="ro-RO"/>
        </w:rPr>
        <w:t>Regulamentului cu privire la</w:t>
      </w:r>
      <w:r w:rsidR="005124DC">
        <w:rPr>
          <w:rFonts w:ascii="PermianSerifTypeface" w:hAnsi="PermianSerifTypeface" w:cs="Arial"/>
          <w:sz w:val="24"/>
          <w:szCs w:val="24"/>
          <w:lang w:val="ro-RO"/>
        </w:rPr>
        <w:t xml:space="preserve"> activitatea prestatorilor de servicii de plată nebancari </w:t>
      </w:r>
      <w:r w:rsidR="005124DC" w:rsidRPr="005124DC">
        <w:rPr>
          <w:rFonts w:ascii="PermianSerifTypeface" w:hAnsi="PermianSerifTypeface" w:cs="Arial"/>
          <w:sz w:val="24"/>
          <w:szCs w:val="24"/>
          <w:lang w:val="ro-RO"/>
        </w:rPr>
        <w:t>(Monitorul Oficial al Republicii Moldova, 2024, nr. 3</w:t>
      </w:r>
      <w:r w:rsidR="005124DC">
        <w:rPr>
          <w:rFonts w:ascii="PermianSerifTypeface" w:hAnsi="PermianSerifTypeface" w:cs="Arial"/>
          <w:sz w:val="24"/>
          <w:szCs w:val="24"/>
          <w:lang w:val="ro-RO"/>
        </w:rPr>
        <w:t>2</w:t>
      </w:r>
      <w:r w:rsidR="005124DC" w:rsidRPr="005124DC">
        <w:rPr>
          <w:rFonts w:ascii="PermianSerifTypeface" w:hAnsi="PermianSerifTypeface" w:cs="Arial"/>
          <w:sz w:val="24"/>
          <w:szCs w:val="24"/>
          <w:lang w:val="ro-RO"/>
        </w:rPr>
        <w:t>-3</w:t>
      </w:r>
      <w:r w:rsidR="005124DC">
        <w:rPr>
          <w:rFonts w:ascii="PermianSerifTypeface" w:hAnsi="PermianSerifTypeface" w:cs="Arial"/>
          <w:sz w:val="24"/>
          <w:szCs w:val="24"/>
          <w:lang w:val="ro-RO"/>
        </w:rPr>
        <w:t>5</w:t>
      </w:r>
      <w:r w:rsidR="005124DC" w:rsidRPr="005124DC">
        <w:rPr>
          <w:rFonts w:ascii="PermianSerifTypeface" w:hAnsi="PermianSerifTypeface" w:cs="Arial"/>
          <w:sz w:val="24"/>
          <w:szCs w:val="24"/>
          <w:lang w:val="ro-RO"/>
        </w:rPr>
        <w:t xml:space="preserve">, art. </w:t>
      </w:r>
      <w:r w:rsidR="005124DC">
        <w:rPr>
          <w:rFonts w:ascii="PermianSerifTypeface" w:hAnsi="PermianSerifTypeface" w:cs="Arial"/>
          <w:sz w:val="24"/>
          <w:szCs w:val="24"/>
          <w:lang w:val="ro-RO"/>
        </w:rPr>
        <w:t>85</w:t>
      </w:r>
      <w:r w:rsidR="005124DC" w:rsidRPr="005124DC">
        <w:rPr>
          <w:rFonts w:ascii="PermianSerifTypeface" w:hAnsi="PermianSerifTypeface" w:cs="Arial"/>
          <w:sz w:val="24"/>
          <w:szCs w:val="24"/>
          <w:lang w:val="ro-RO"/>
        </w:rPr>
        <w:t>), înregistrată la Ministerul Justiției al Republicii Moldova cu nr. 190</w:t>
      </w:r>
      <w:r w:rsidR="002F482C">
        <w:rPr>
          <w:rFonts w:ascii="PermianSerifTypeface" w:hAnsi="PermianSerifTypeface" w:cs="Arial"/>
          <w:sz w:val="24"/>
          <w:szCs w:val="24"/>
          <w:lang w:val="ro-RO"/>
        </w:rPr>
        <w:t>3</w:t>
      </w:r>
      <w:r w:rsidR="005124DC" w:rsidRPr="005124DC">
        <w:rPr>
          <w:rFonts w:ascii="PermianSerifTypeface" w:hAnsi="PermianSerifTypeface" w:cs="Arial"/>
          <w:sz w:val="24"/>
          <w:szCs w:val="24"/>
          <w:lang w:val="ro-RO"/>
        </w:rPr>
        <w:t xml:space="preserve"> din 19 ianuarie 2024,</w:t>
      </w:r>
      <w:r w:rsidR="002F482C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="002F482C" w:rsidRPr="006F53F2">
        <w:rPr>
          <w:rFonts w:ascii="PermianSerifTypeface" w:hAnsi="PermianSerifTypeface" w:cs="Arial"/>
          <w:sz w:val="24"/>
          <w:szCs w:val="24"/>
          <w:lang w:val="ro-RO"/>
        </w:rPr>
        <w:t xml:space="preserve">textul </w:t>
      </w:r>
      <w:r w:rsidR="00E27A84">
        <w:rPr>
          <w:rFonts w:ascii="PermianSerifTypeface" w:hAnsi="PermianSerifTypeface" w:cs="Arial"/>
          <w:sz w:val="24"/>
          <w:szCs w:val="24"/>
          <w:lang w:val="ro-RO"/>
        </w:rPr>
        <w:t>„</w:t>
      </w:r>
      <w:r w:rsidR="002F482C" w:rsidRPr="006F53F2">
        <w:rPr>
          <w:rFonts w:ascii="PermianSerifTypeface" w:hAnsi="PermianSerifTypeface" w:cs="Arial"/>
          <w:sz w:val="24"/>
          <w:szCs w:val="24"/>
          <w:lang w:val="ro-RO"/>
        </w:rPr>
        <w:t>05</w:t>
      </w:r>
      <w:r w:rsidR="002F482C">
        <w:rPr>
          <w:rFonts w:ascii="PermianSerifTypeface" w:hAnsi="PermianSerifTypeface" w:cs="Arial"/>
          <w:sz w:val="24"/>
          <w:szCs w:val="24"/>
          <w:lang w:val="ro-RO"/>
        </w:rPr>
        <w:t>.08.</w:t>
      </w:r>
      <w:r w:rsidR="002F482C" w:rsidRPr="006F53F2">
        <w:rPr>
          <w:rFonts w:ascii="PermianSerifTypeface" w:hAnsi="PermianSerifTypeface" w:cs="Arial"/>
          <w:sz w:val="24"/>
          <w:szCs w:val="24"/>
          <w:lang w:val="ro-RO"/>
        </w:rPr>
        <w:t xml:space="preserve">2024” se substituie cu textul </w:t>
      </w:r>
      <w:r w:rsidR="00E27A84">
        <w:rPr>
          <w:rFonts w:ascii="PermianSerifTypeface" w:hAnsi="PermianSerifTypeface" w:cs="Arial"/>
          <w:sz w:val="24"/>
          <w:szCs w:val="24"/>
          <w:lang w:val="ro-RO"/>
        </w:rPr>
        <w:t>„</w:t>
      </w:r>
      <w:r w:rsidR="002F482C">
        <w:rPr>
          <w:rFonts w:ascii="PermianSerifTypeface" w:hAnsi="PermianSerifTypeface" w:cs="Arial"/>
          <w:sz w:val="24"/>
          <w:szCs w:val="24"/>
          <w:lang w:val="ro-RO"/>
        </w:rPr>
        <w:t>01.02.</w:t>
      </w:r>
      <w:r w:rsidR="002F482C" w:rsidRPr="006F53F2">
        <w:rPr>
          <w:rFonts w:ascii="PermianSerifTypeface" w:hAnsi="PermianSerifTypeface" w:cs="Arial"/>
          <w:sz w:val="24"/>
          <w:szCs w:val="24"/>
          <w:lang w:val="ro-RO"/>
        </w:rPr>
        <w:t>2025”;</w:t>
      </w:r>
    </w:p>
    <w:p w14:paraId="3348E290" w14:textId="03560A24" w:rsidR="0013200F" w:rsidRPr="00554403" w:rsidRDefault="00E032F3" w:rsidP="00C85C59">
      <w:pPr>
        <w:pStyle w:val="ListParagraph"/>
        <w:numPr>
          <w:ilvl w:val="0"/>
          <w:numId w:val="17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PermianSerifTypeface" w:hAnsi="PermianSerifTypeface" w:cs="Arial"/>
          <w:sz w:val="24"/>
          <w:szCs w:val="24"/>
          <w:lang w:val="ro-RO"/>
        </w:rPr>
      </w:pPr>
      <w:r w:rsidRPr="00554403">
        <w:rPr>
          <w:rFonts w:ascii="PermianSerifTypeface" w:hAnsi="PermianSerifTypeface" w:cs="Arial"/>
          <w:sz w:val="24"/>
          <w:szCs w:val="24"/>
          <w:lang w:val="ro-RO"/>
        </w:rPr>
        <w:t>Prezenta hotărâre intră în vigoare</w:t>
      </w:r>
      <w:r w:rsidR="002C201A">
        <w:rPr>
          <w:rFonts w:ascii="PermianSerifTypeface" w:hAnsi="PermianSerifTypeface" w:cs="Arial"/>
          <w:sz w:val="24"/>
          <w:szCs w:val="24"/>
          <w:lang w:val="ro-RO"/>
        </w:rPr>
        <w:t xml:space="preserve"> </w:t>
      </w:r>
      <w:r w:rsidRPr="00554403">
        <w:rPr>
          <w:rFonts w:ascii="PermianSerifTypeface" w:hAnsi="PermianSerifTypeface" w:cs="Arial"/>
          <w:sz w:val="24"/>
          <w:szCs w:val="24"/>
          <w:lang w:val="ro-RO"/>
        </w:rPr>
        <w:t>la data publicării în Monitorul Oficial al Republicii Moldova.</w:t>
      </w:r>
      <w:r w:rsidRPr="00554403">
        <w:rPr>
          <w:rFonts w:ascii="PermianSerifTypeface" w:hAnsi="PermianSerifTypeface" w:cs="Arial"/>
          <w:sz w:val="24"/>
          <w:szCs w:val="24"/>
          <w:lang w:val="ro-RO" w:eastAsia="ro-MD"/>
        </w:rPr>
        <w:t xml:space="preserve">  </w:t>
      </w:r>
    </w:p>
    <w:p w14:paraId="7A76CF8A" w14:textId="678D6F6D" w:rsidR="000270A8" w:rsidRPr="00554403" w:rsidRDefault="000270A8">
      <w:pPr>
        <w:spacing w:after="0" w:line="240" w:lineRule="auto"/>
        <w:rPr>
          <w:rFonts w:ascii="PermianSerifTypeface" w:hAnsi="PermianSerifTypeface" w:cs="Arial"/>
          <w:sz w:val="24"/>
          <w:szCs w:val="24"/>
          <w:lang w:val="ro-RO"/>
        </w:rPr>
      </w:pPr>
    </w:p>
    <w:sectPr w:rsidR="000270A8" w:rsidRPr="00554403" w:rsidSect="005904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51" w:right="851" w:bottom="1560" w:left="1418" w:header="567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6EE06" w14:textId="77777777" w:rsidR="0094701F" w:rsidRDefault="0094701F" w:rsidP="002A6E16">
      <w:pPr>
        <w:spacing w:after="0" w:line="240" w:lineRule="auto"/>
      </w:pPr>
      <w:r>
        <w:separator/>
      </w:r>
    </w:p>
  </w:endnote>
  <w:endnote w:type="continuationSeparator" w:id="0">
    <w:p w14:paraId="3AF36126" w14:textId="77777777" w:rsidR="0094701F" w:rsidRDefault="0094701F" w:rsidP="002A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26B0" w14:textId="07085DE1" w:rsidR="0094701F" w:rsidRPr="00606B33" w:rsidRDefault="0094701F" w:rsidP="00763461">
    <w:pPr>
      <w:pStyle w:val="Footer"/>
      <w:jc w:val="center"/>
      <w:rPr>
        <w:rFonts w:ascii="PermianSansTypeface" w:hAnsi="PermianSansTypeface"/>
        <w:b/>
        <w:color w:val="000000"/>
        <w:sz w:val="16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274CA" w14:textId="5BF7C036" w:rsidR="0094701F" w:rsidRDefault="0094701F" w:rsidP="00763461">
    <w:pPr>
      <w:pStyle w:val="Footer"/>
      <w:jc w:val="center"/>
      <w:rPr>
        <w:rFonts w:ascii="PermianSansTypeface" w:hAnsi="PermianSansTypeface"/>
        <w:b/>
        <w:color w:val="000000"/>
        <w:sz w:val="16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A360" w14:textId="77777777" w:rsidR="008344F9" w:rsidRDefault="00834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CF483" w14:textId="77777777" w:rsidR="0094701F" w:rsidRDefault="0094701F" w:rsidP="002A6E16">
      <w:pPr>
        <w:spacing w:after="0" w:line="240" w:lineRule="auto"/>
      </w:pPr>
      <w:r>
        <w:separator/>
      </w:r>
    </w:p>
  </w:footnote>
  <w:footnote w:type="continuationSeparator" w:id="0">
    <w:p w14:paraId="04F64D46" w14:textId="77777777" w:rsidR="0094701F" w:rsidRDefault="0094701F" w:rsidP="002A6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C77E" w14:textId="29AE801A" w:rsidR="0094701F" w:rsidRDefault="0094701F" w:rsidP="0076346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F217" w14:textId="418D5CD7" w:rsidR="0094701F" w:rsidRDefault="0094701F" w:rsidP="00763461">
    <w:pPr>
      <w:pStyle w:val="Header"/>
      <w:jc w:val="right"/>
      <w:rPr>
        <w:rFonts w:ascii="PermianSerifTypeface" w:hAnsi="PermianSerifTypeface"/>
        <w:b/>
        <w:sz w:val="24"/>
        <w:lang w:val="ro-RO"/>
      </w:rPr>
    </w:pPr>
  </w:p>
  <w:p w14:paraId="0FBF9494" w14:textId="77777777" w:rsidR="0094701F" w:rsidRDefault="0094701F" w:rsidP="002A6E16">
    <w:pPr>
      <w:pStyle w:val="Header"/>
      <w:jc w:val="right"/>
      <w:rPr>
        <w:rFonts w:ascii="PermianSerifTypeface" w:hAnsi="PermianSerifTypeface"/>
        <w:b/>
        <w:sz w:val="24"/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0A771" w14:textId="77777777" w:rsidR="008344F9" w:rsidRDefault="008344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52E"/>
    <w:multiLevelType w:val="hybridMultilevel"/>
    <w:tmpl w:val="B7E4311A"/>
    <w:lvl w:ilvl="0" w:tplc="436E2D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0E7DDB"/>
    <w:multiLevelType w:val="multilevel"/>
    <w:tmpl w:val="2A660B1E"/>
    <w:lvl w:ilvl="0">
      <w:start w:val="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2" w15:restartNumberingAfterBreak="0">
    <w:nsid w:val="11372DEE"/>
    <w:multiLevelType w:val="hybridMultilevel"/>
    <w:tmpl w:val="01CE99B2"/>
    <w:lvl w:ilvl="0" w:tplc="7D606AEA">
      <w:start w:val="1"/>
      <w:numFmt w:val="bullet"/>
      <w:lvlText w:val="-"/>
      <w:lvlJc w:val="left"/>
      <w:pPr>
        <w:ind w:left="2160" w:hanging="360"/>
      </w:pPr>
      <w:rPr>
        <w:rFonts w:ascii="PermianSerifTypeface" w:eastAsia="Times New Roman" w:hAnsi="PermianSerifTypeface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9B2412"/>
    <w:multiLevelType w:val="hybridMultilevel"/>
    <w:tmpl w:val="845AE4EC"/>
    <w:lvl w:ilvl="0" w:tplc="6B94A8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25727"/>
    <w:multiLevelType w:val="multilevel"/>
    <w:tmpl w:val="293C6950"/>
    <w:lvl w:ilvl="0">
      <w:start w:val="1"/>
      <w:numFmt w:val="decimal"/>
      <w:lvlText w:val="%1."/>
      <w:lvlJc w:val="left"/>
      <w:pPr>
        <w:ind w:left="785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1" w:hanging="2160"/>
      </w:pPr>
      <w:rPr>
        <w:rFonts w:hint="default"/>
      </w:rPr>
    </w:lvl>
  </w:abstractNum>
  <w:abstractNum w:abstractNumId="5" w15:restartNumberingAfterBreak="0">
    <w:nsid w:val="133A5E1F"/>
    <w:multiLevelType w:val="hybridMultilevel"/>
    <w:tmpl w:val="8F4E0682"/>
    <w:lvl w:ilvl="0" w:tplc="9F3C32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376E47"/>
    <w:multiLevelType w:val="hybridMultilevel"/>
    <w:tmpl w:val="CC00C0E2"/>
    <w:lvl w:ilvl="0" w:tplc="F87417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E20F6B"/>
    <w:multiLevelType w:val="hybridMultilevel"/>
    <w:tmpl w:val="02C457CC"/>
    <w:lvl w:ilvl="0" w:tplc="CA30474E">
      <w:start w:val="1"/>
      <w:numFmt w:val="lowerLetter"/>
      <w:lvlText w:val="%1)"/>
      <w:lvlJc w:val="left"/>
      <w:pPr>
        <w:ind w:left="927" w:hanging="360"/>
      </w:pPr>
      <w:rPr>
        <w:rFonts w:ascii="PermianSerifTypeface" w:eastAsia="Times New Roman" w:hAnsi="PermianSerifTypeface" w:cs="Arial"/>
      </w:rPr>
    </w:lvl>
    <w:lvl w:ilvl="1" w:tplc="08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C5F0F46"/>
    <w:multiLevelType w:val="hybridMultilevel"/>
    <w:tmpl w:val="D826E544"/>
    <w:lvl w:ilvl="0" w:tplc="E30012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175612"/>
    <w:multiLevelType w:val="hybridMultilevel"/>
    <w:tmpl w:val="57C8FD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15157C"/>
    <w:multiLevelType w:val="hybridMultilevel"/>
    <w:tmpl w:val="B952316E"/>
    <w:lvl w:ilvl="0" w:tplc="B96885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F071AF"/>
    <w:multiLevelType w:val="hybridMultilevel"/>
    <w:tmpl w:val="84C27218"/>
    <w:lvl w:ilvl="0" w:tplc="835E13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817676"/>
    <w:multiLevelType w:val="hybridMultilevel"/>
    <w:tmpl w:val="9B3CEF3E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C76DC"/>
    <w:multiLevelType w:val="hybridMultilevel"/>
    <w:tmpl w:val="1F7C502E"/>
    <w:lvl w:ilvl="0" w:tplc="59D6DE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27A366A"/>
    <w:multiLevelType w:val="hybridMultilevel"/>
    <w:tmpl w:val="E5E05D18"/>
    <w:lvl w:ilvl="0" w:tplc="2C8C5AB2">
      <w:numFmt w:val="bullet"/>
      <w:lvlText w:val="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1C5013"/>
    <w:multiLevelType w:val="hybridMultilevel"/>
    <w:tmpl w:val="AD38A912"/>
    <w:lvl w:ilvl="0" w:tplc="39BE7A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FF5D49"/>
    <w:multiLevelType w:val="hybridMultilevel"/>
    <w:tmpl w:val="73666A6C"/>
    <w:lvl w:ilvl="0" w:tplc="D212A2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2169CA"/>
    <w:multiLevelType w:val="hybridMultilevel"/>
    <w:tmpl w:val="D540A092"/>
    <w:lvl w:ilvl="0" w:tplc="896EB72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F62F4"/>
    <w:multiLevelType w:val="hybridMultilevel"/>
    <w:tmpl w:val="9594BA9E"/>
    <w:lvl w:ilvl="0" w:tplc="B4A6B0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65723D"/>
    <w:multiLevelType w:val="hybridMultilevel"/>
    <w:tmpl w:val="3E5CA33C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90468"/>
    <w:multiLevelType w:val="hybridMultilevel"/>
    <w:tmpl w:val="9326A2E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72B7D"/>
    <w:multiLevelType w:val="hybridMultilevel"/>
    <w:tmpl w:val="DD22F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823B4"/>
    <w:multiLevelType w:val="hybridMultilevel"/>
    <w:tmpl w:val="BB44C69A"/>
    <w:lvl w:ilvl="0" w:tplc="C2BC18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30C7170"/>
    <w:multiLevelType w:val="hybridMultilevel"/>
    <w:tmpl w:val="3AC4EA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B62207"/>
    <w:multiLevelType w:val="hybridMultilevel"/>
    <w:tmpl w:val="04A69524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6A15D5"/>
    <w:multiLevelType w:val="hybridMultilevel"/>
    <w:tmpl w:val="8F30B6DC"/>
    <w:lvl w:ilvl="0" w:tplc="286E491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82" w:hanging="360"/>
      </w:pPr>
    </w:lvl>
    <w:lvl w:ilvl="2" w:tplc="0818001B" w:tentative="1">
      <w:start w:val="1"/>
      <w:numFmt w:val="lowerRoman"/>
      <w:lvlText w:val="%3."/>
      <w:lvlJc w:val="right"/>
      <w:pPr>
        <w:ind w:left="2302" w:hanging="180"/>
      </w:pPr>
    </w:lvl>
    <w:lvl w:ilvl="3" w:tplc="0818000F" w:tentative="1">
      <w:start w:val="1"/>
      <w:numFmt w:val="decimal"/>
      <w:lvlText w:val="%4."/>
      <w:lvlJc w:val="left"/>
      <w:pPr>
        <w:ind w:left="3022" w:hanging="360"/>
      </w:pPr>
    </w:lvl>
    <w:lvl w:ilvl="4" w:tplc="08180019" w:tentative="1">
      <w:start w:val="1"/>
      <w:numFmt w:val="lowerLetter"/>
      <w:lvlText w:val="%5."/>
      <w:lvlJc w:val="left"/>
      <w:pPr>
        <w:ind w:left="3742" w:hanging="360"/>
      </w:pPr>
    </w:lvl>
    <w:lvl w:ilvl="5" w:tplc="0818001B" w:tentative="1">
      <w:start w:val="1"/>
      <w:numFmt w:val="lowerRoman"/>
      <w:lvlText w:val="%6."/>
      <w:lvlJc w:val="right"/>
      <w:pPr>
        <w:ind w:left="4462" w:hanging="180"/>
      </w:pPr>
    </w:lvl>
    <w:lvl w:ilvl="6" w:tplc="0818000F" w:tentative="1">
      <w:start w:val="1"/>
      <w:numFmt w:val="decimal"/>
      <w:lvlText w:val="%7."/>
      <w:lvlJc w:val="left"/>
      <w:pPr>
        <w:ind w:left="5182" w:hanging="360"/>
      </w:pPr>
    </w:lvl>
    <w:lvl w:ilvl="7" w:tplc="08180019" w:tentative="1">
      <w:start w:val="1"/>
      <w:numFmt w:val="lowerLetter"/>
      <w:lvlText w:val="%8."/>
      <w:lvlJc w:val="left"/>
      <w:pPr>
        <w:ind w:left="5902" w:hanging="360"/>
      </w:pPr>
    </w:lvl>
    <w:lvl w:ilvl="8" w:tplc="0818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7"/>
  </w:num>
  <w:num w:numId="2">
    <w:abstractNumId w:val="14"/>
  </w:num>
  <w:num w:numId="3">
    <w:abstractNumId w:val="23"/>
  </w:num>
  <w:num w:numId="4">
    <w:abstractNumId w:val="10"/>
  </w:num>
  <w:num w:numId="5">
    <w:abstractNumId w:val="24"/>
  </w:num>
  <w:num w:numId="6">
    <w:abstractNumId w:val="0"/>
  </w:num>
  <w:num w:numId="7">
    <w:abstractNumId w:val="11"/>
  </w:num>
  <w:num w:numId="8">
    <w:abstractNumId w:val="13"/>
  </w:num>
  <w:num w:numId="9">
    <w:abstractNumId w:val="2"/>
  </w:num>
  <w:num w:numId="10">
    <w:abstractNumId w:val="16"/>
  </w:num>
  <w:num w:numId="11">
    <w:abstractNumId w:val="22"/>
  </w:num>
  <w:num w:numId="12">
    <w:abstractNumId w:val="8"/>
  </w:num>
  <w:num w:numId="13">
    <w:abstractNumId w:val="5"/>
  </w:num>
  <w:num w:numId="14">
    <w:abstractNumId w:val="15"/>
  </w:num>
  <w:num w:numId="15">
    <w:abstractNumId w:val="18"/>
  </w:num>
  <w:num w:numId="16">
    <w:abstractNumId w:val="21"/>
  </w:num>
  <w:num w:numId="17">
    <w:abstractNumId w:val="4"/>
  </w:num>
  <w:num w:numId="18">
    <w:abstractNumId w:val="3"/>
  </w:num>
  <w:num w:numId="19">
    <w:abstractNumId w:val="9"/>
  </w:num>
  <w:num w:numId="20">
    <w:abstractNumId w:val="7"/>
  </w:num>
  <w:num w:numId="21">
    <w:abstractNumId w:val="25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9"/>
  </w:num>
  <w:num w:numId="25">
    <w:abstractNumId w:val="20"/>
  </w:num>
  <w:num w:numId="26">
    <w:abstractNumId w:val="1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AB"/>
    <w:rsid w:val="00001FAE"/>
    <w:rsid w:val="00002396"/>
    <w:rsid w:val="00006417"/>
    <w:rsid w:val="000067D1"/>
    <w:rsid w:val="00014DDD"/>
    <w:rsid w:val="00017A6D"/>
    <w:rsid w:val="0002115D"/>
    <w:rsid w:val="000252EA"/>
    <w:rsid w:val="0002548C"/>
    <w:rsid w:val="000270A8"/>
    <w:rsid w:val="0003333C"/>
    <w:rsid w:val="000336D7"/>
    <w:rsid w:val="0003530E"/>
    <w:rsid w:val="00037069"/>
    <w:rsid w:val="00041B29"/>
    <w:rsid w:val="00051841"/>
    <w:rsid w:val="00052AC5"/>
    <w:rsid w:val="00052F51"/>
    <w:rsid w:val="00053DA1"/>
    <w:rsid w:val="00056E14"/>
    <w:rsid w:val="00060666"/>
    <w:rsid w:val="00061B86"/>
    <w:rsid w:val="0006772F"/>
    <w:rsid w:val="00072F7F"/>
    <w:rsid w:val="0007616D"/>
    <w:rsid w:val="0007759D"/>
    <w:rsid w:val="000776A6"/>
    <w:rsid w:val="00080428"/>
    <w:rsid w:val="000837CB"/>
    <w:rsid w:val="00084BC7"/>
    <w:rsid w:val="000858B7"/>
    <w:rsid w:val="00086BAA"/>
    <w:rsid w:val="00087DD9"/>
    <w:rsid w:val="000920B2"/>
    <w:rsid w:val="00092F41"/>
    <w:rsid w:val="00093AA3"/>
    <w:rsid w:val="00095A42"/>
    <w:rsid w:val="00095FEF"/>
    <w:rsid w:val="0009695D"/>
    <w:rsid w:val="000A34C9"/>
    <w:rsid w:val="000A42FE"/>
    <w:rsid w:val="000A6635"/>
    <w:rsid w:val="000B1B53"/>
    <w:rsid w:val="000B285F"/>
    <w:rsid w:val="000B5D88"/>
    <w:rsid w:val="000B687E"/>
    <w:rsid w:val="000B7273"/>
    <w:rsid w:val="000C3434"/>
    <w:rsid w:val="000C5F79"/>
    <w:rsid w:val="000C7D00"/>
    <w:rsid w:val="000D17FC"/>
    <w:rsid w:val="000D1CF6"/>
    <w:rsid w:val="000D1EF2"/>
    <w:rsid w:val="000D25EF"/>
    <w:rsid w:val="000D43C4"/>
    <w:rsid w:val="000D5714"/>
    <w:rsid w:val="000E2DB2"/>
    <w:rsid w:val="000E65E4"/>
    <w:rsid w:val="00100099"/>
    <w:rsid w:val="00100A6E"/>
    <w:rsid w:val="00100D30"/>
    <w:rsid w:val="00102994"/>
    <w:rsid w:val="001033B8"/>
    <w:rsid w:val="0010385B"/>
    <w:rsid w:val="0010406E"/>
    <w:rsid w:val="00104B3D"/>
    <w:rsid w:val="00110232"/>
    <w:rsid w:val="001149E0"/>
    <w:rsid w:val="00121889"/>
    <w:rsid w:val="0012342A"/>
    <w:rsid w:val="00123BF2"/>
    <w:rsid w:val="001240D2"/>
    <w:rsid w:val="0013200F"/>
    <w:rsid w:val="001325BD"/>
    <w:rsid w:val="00147922"/>
    <w:rsid w:val="001479DD"/>
    <w:rsid w:val="00156247"/>
    <w:rsid w:val="001606C6"/>
    <w:rsid w:val="00160B08"/>
    <w:rsid w:val="00166CE1"/>
    <w:rsid w:val="00167124"/>
    <w:rsid w:val="0017321B"/>
    <w:rsid w:val="0017370C"/>
    <w:rsid w:val="00174595"/>
    <w:rsid w:val="00174881"/>
    <w:rsid w:val="00174998"/>
    <w:rsid w:val="00190913"/>
    <w:rsid w:val="001968F2"/>
    <w:rsid w:val="001A3893"/>
    <w:rsid w:val="001A5009"/>
    <w:rsid w:val="001B0F32"/>
    <w:rsid w:val="001B2F79"/>
    <w:rsid w:val="001B35FF"/>
    <w:rsid w:val="001B3ED2"/>
    <w:rsid w:val="001D00B7"/>
    <w:rsid w:val="001D1E3E"/>
    <w:rsid w:val="001D34EE"/>
    <w:rsid w:val="001E335A"/>
    <w:rsid w:val="001E5A99"/>
    <w:rsid w:val="001F03C7"/>
    <w:rsid w:val="001F38FD"/>
    <w:rsid w:val="001F3B65"/>
    <w:rsid w:val="001F4745"/>
    <w:rsid w:val="001F4BDF"/>
    <w:rsid w:val="001F7815"/>
    <w:rsid w:val="0020171D"/>
    <w:rsid w:val="00201916"/>
    <w:rsid w:val="00202FEC"/>
    <w:rsid w:val="002043D4"/>
    <w:rsid w:val="00212B57"/>
    <w:rsid w:val="00222193"/>
    <w:rsid w:val="00222EB5"/>
    <w:rsid w:val="00225150"/>
    <w:rsid w:val="0023132C"/>
    <w:rsid w:val="00233906"/>
    <w:rsid w:val="00245AE8"/>
    <w:rsid w:val="00246777"/>
    <w:rsid w:val="002468DD"/>
    <w:rsid w:val="00250C84"/>
    <w:rsid w:val="00252901"/>
    <w:rsid w:val="00252B73"/>
    <w:rsid w:val="00254BAA"/>
    <w:rsid w:val="00260FD1"/>
    <w:rsid w:val="0026393A"/>
    <w:rsid w:val="00272BE9"/>
    <w:rsid w:val="00276A7C"/>
    <w:rsid w:val="00276B24"/>
    <w:rsid w:val="00280958"/>
    <w:rsid w:val="00290529"/>
    <w:rsid w:val="00291832"/>
    <w:rsid w:val="002943AC"/>
    <w:rsid w:val="002949C8"/>
    <w:rsid w:val="00295D8B"/>
    <w:rsid w:val="002A319D"/>
    <w:rsid w:val="002A334A"/>
    <w:rsid w:val="002A5D29"/>
    <w:rsid w:val="002A5EB3"/>
    <w:rsid w:val="002A6204"/>
    <w:rsid w:val="002A6E16"/>
    <w:rsid w:val="002B0549"/>
    <w:rsid w:val="002B0DB1"/>
    <w:rsid w:val="002B3912"/>
    <w:rsid w:val="002C087E"/>
    <w:rsid w:val="002C1973"/>
    <w:rsid w:val="002C201A"/>
    <w:rsid w:val="002C4682"/>
    <w:rsid w:val="002C6669"/>
    <w:rsid w:val="002C700B"/>
    <w:rsid w:val="002D22BD"/>
    <w:rsid w:val="002D373D"/>
    <w:rsid w:val="002D642F"/>
    <w:rsid w:val="002D7E28"/>
    <w:rsid w:val="002E112D"/>
    <w:rsid w:val="002E1C72"/>
    <w:rsid w:val="002E6C01"/>
    <w:rsid w:val="002E6F53"/>
    <w:rsid w:val="002F38F8"/>
    <w:rsid w:val="002F482C"/>
    <w:rsid w:val="002F58C1"/>
    <w:rsid w:val="002F599D"/>
    <w:rsid w:val="002F5FAA"/>
    <w:rsid w:val="002F724B"/>
    <w:rsid w:val="00300C12"/>
    <w:rsid w:val="00303657"/>
    <w:rsid w:val="00303C3B"/>
    <w:rsid w:val="003124B9"/>
    <w:rsid w:val="003132E7"/>
    <w:rsid w:val="00323641"/>
    <w:rsid w:val="00325422"/>
    <w:rsid w:val="0032556D"/>
    <w:rsid w:val="003256FF"/>
    <w:rsid w:val="00327853"/>
    <w:rsid w:val="00340D0C"/>
    <w:rsid w:val="003427D0"/>
    <w:rsid w:val="00350A5F"/>
    <w:rsid w:val="00351376"/>
    <w:rsid w:val="00353D02"/>
    <w:rsid w:val="00360A70"/>
    <w:rsid w:val="00363FF1"/>
    <w:rsid w:val="003654C6"/>
    <w:rsid w:val="00366145"/>
    <w:rsid w:val="0037111A"/>
    <w:rsid w:val="00374D26"/>
    <w:rsid w:val="00382702"/>
    <w:rsid w:val="00384022"/>
    <w:rsid w:val="003850E7"/>
    <w:rsid w:val="003852B8"/>
    <w:rsid w:val="00385930"/>
    <w:rsid w:val="0038619D"/>
    <w:rsid w:val="00386B72"/>
    <w:rsid w:val="00390487"/>
    <w:rsid w:val="00390C8D"/>
    <w:rsid w:val="00396147"/>
    <w:rsid w:val="003A3DAC"/>
    <w:rsid w:val="003A4173"/>
    <w:rsid w:val="003A5158"/>
    <w:rsid w:val="003A61F8"/>
    <w:rsid w:val="003A69C7"/>
    <w:rsid w:val="003B0843"/>
    <w:rsid w:val="003B3981"/>
    <w:rsid w:val="003B4AD4"/>
    <w:rsid w:val="003D2A33"/>
    <w:rsid w:val="003D5405"/>
    <w:rsid w:val="003D605E"/>
    <w:rsid w:val="003E1FE3"/>
    <w:rsid w:val="003E504A"/>
    <w:rsid w:val="003E62EE"/>
    <w:rsid w:val="003F001C"/>
    <w:rsid w:val="003F0AFF"/>
    <w:rsid w:val="003F11B2"/>
    <w:rsid w:val="003F14EF"/>
    <w:rsid w:val="003F2080"/>
    <w:rsid w:val="003F3521"/>
    <w:rsid w:val="003F44C2"/>
    <w:rsid w:val="003F6DA3"/>
    <w:rsid w:val="003F713A"/>
    <w:rsid w:val="003F7391"/>
    <w:rsid w:val="0040348B"/>
    <w:rsid w:val="0041048F"/>
    <w:rsid w:val="00413CFA"/>
    <w:rsid w:val="004179AE"/>
    <w:rsid w:val="0042143C"/>
    <w:rsid w:val="004226C9"/>
    <w:rsid w:val="0042610D"/>
    <w:rsid w:val="004315DA"/>
    <w:rsid w:val="004344DF"/>
    <w:rsid w:val="00437857"/>
    <w:rsid w:val="00437E09"/>
    <w:rsid w:val="00442355"/>
    <w:rsid w:val="00442B17"/>
    <w:rsid w:val="00443B7A"/>
    <w:rsid w:val="004449B4"/>
    <w:rsid w:val="00450BB2"/>
    <w:rsid w:val="00451555"/>
    <w:rsid w:val="004533A2"/>
    <w:rsid w:val="00455BF5"/>
    <w:rsid w:val="00460C46"/>
    <w:rsid w:val="00464FD3"/>
    <w:rsid w:val="00471768"/>
    <w:rsid w:val="00472245"/>
    <w:rsid w:val="00473A73"/>
    <w:rsid w:val="00474C25"/>
    <w:rsid w:val="004757A5"/>
    <w:rsid w:val="00481EA5"/>
    <w:rsid w:val="0048238A"/>
    <w:rsid w:val="004846D5"/>
    <w:rsid w:val="0048506D"/>
    <w:rsid w:val="00490D51"/>
    <w:rsid w:val="00492586"/>
    <w:rsid w:val="00496540"/>
    <w:rsid w:val="004966E8"/>
    <w:rsid w:val="004A03CD"/>
    <w:rsid w:val="004A1968"/>
    <w:rsid w:val="004A2687"/>
    <w:rsid w:val="004A2AA8"/>
    <w:rsid w:val="004A4716"/>
    <w:rsid w:val="004A7F25"/>
    <w:rsid w:val="004B4A03"/>
    <w:rsid w:val="004B713B"/>
    <w:rsid w:val="004B7E4E"/>
    <w:rsid w:val="004C3261"/>
    <w:rsid w:val="004C35C5"/>
    <w:rsid w:val="004C77A9"/>
    <w:rsid w:val="004D0635"/>
    <w:rsid w:val="004D08E5"/>
    <w:rsid w:val="004D6963"/>
    <w:rsid w:val="004D7F6D"/>
    <w:rsid w:val="004E7C20"/>
    <w:rsid w:val="004F1824"/>
    <w:rsid w:val="00500375"/>
    <w:rsid w:val="00501FB7"/>
    <w:rsid w:val="00502C69"/>
    <w:rsid w:val="00502C7E"/>
    <w:rsid w:val="005049C0"/>
    <w:rsid w:val="005074BF"/>
    <w:rsid w:val="00510CCF"/>
    <w:rsid w:val="00511666"/>
    <w:rsid w:val="005124DC"/>
    <w:rsid w:val="005146F2"/>
    <w:rsid w:val="00514C45"/>
    <w:rsid w:val="0052139A"/>
    <w:rsid w:val="00523F96"/>
    <w:rsid w:val="00524B33"/>
    <w:rsid w:val="00525DFC"/>
    <w:rsid w:val="00527196"/>
    <w:rsid w:val="00527E85"/>
    <w:rsid w:val="005304DA"/>
    <w:rsid w:val="00540BF3"/>
    <w:rsid w:val="00540F21"/>
    <w:rsid w:val="00541999"/>
    <w:rsid w:val="00550C15"/>
    <w:rsid w:val="00551709"/>
    <w:rsid w:val="00551B80"/>
    <w:rsid w:val="005520C8"/>
    <w:rsid w:val="00552250"/>
    <w:rsid w:val="00552D00"/>
    <w:rsid w:val="00554403"/>
    <w:rsid w:val="00555006"/>
    <w:rsid w:val="005573CA"/>
    <w:rsid w:val="00557DC9"/>
    <w:rsid w:val="005648EF"/>
    <w:rsid w:val="00571D7A"/>
    <w:rsid w:val="00575371"/>
    <w:rsid w:val="00582304"/>
    <w:rsid w:val="0058402F"/>
    <w:rsid w:val="00584D14"/>
    <w:rsid w:val="00584F51"/>
    <w:rsid w:val="005877B4"/>
    <w:rsid w:val="005904BE"/>
    <w:rsid w:val="005951D9"/>
    <w:rsid w:val="005955FC"/>
    <w:rsid w:val="00597483"/>
    <w:rsid w:val="005A30F6"/>
    <w:rsid w:val="005A3478"/>
    <w:rsid w:val="005A404C"/>
    <w:rsid w:val="005A5A80"/>
    <w:rsid w:val="005A6B44"/>
    <w:rsid w:val="005A70EF"/>
    <w:rsid w:val="005A7120"/>
    <w:rsid w:val="005A7F2D"/>
    <w:rsid w:val="005B27FB"/>
    <w:rsid w:val="005B4C2D"/>
    <w:rsid w:val="005B4EE7"/>
    <w:rsid w:val="005B6579"/>
    <w:rsid w:val="005B6E44"/>
    <w:rsid w:val="005C1D7D"/>
    <w:rsid w:val="005C641B"/>
    <w:rsid w:val="005D02E9"/>
    <w:rsid w:val="005D2117"/>
    <w:rsid w:val="005D4CED"/>
    <w:rsid w:val="005E38DC"/>
    <w:rsid w:val="005E390C"/>
    <w:rsid w:val="005E513D"/>
    <w:rsid w:val="00603F5A"/>
    <w:rsid w:val="00604140"/>
    <w:rsid w:val="00604940"/>
    <w:rsid w:val="00605F3B"/>
    <w:rsid w:val="00606B33"/>
    <w:rsid w:val="00615E91"/>
    <w:rsid w:val="006207CB"/>
    <w:rsid w:val="00620A16"/>
    <w:rsid w:val="00620AC1"/>
    <w:rsid w:val="00626AE2"/>
    <w:rsid w:val="006301DF"/>
    <w:rsid w:val="006325D0"/>
    <w:rsid w:val="006332A8"/>
    <w:rsid w:val="00633635"/>
    <w:rsid w:val="00635170"/>
    <w:rsid w:val="00642138"/>
    <w:rsid w:val="00643F62"/>
    <w:rsid w:val="00646FCA"/>
    <w:rsid w:val="0065253C"/>
    <w:rsid w:val="006559EF"/>
    <w:rsid w:val="00657062"/>
    <w:rsid w:val="00660399"/>
    <w:rsid w:val="00660C7F"/>
    <w:rsid w:val="00661CFE"/>
    <w:rsid w:val="006629A6"/>
    <w:rsid w:val="006644A4"/>
    <w:rsid w:val="0067060A"/>
    <w:rsid w:val="00677C05"/>
    <w:rsid w:val="00684551"/>
    <w:rsid w:val="006848BE"/>
    <w:rsid w:val="00685109"/>
    <w:rsid w:val="006861CD"/>
    <w:rsid w:val="006933F5"/>
    <w:rsid w:val="00694ED0"/>
    <w:rsid w:val="00696175"/>
    <w:rsid w:val="00697BE5"/>
    <w:rsid w:val="00697CE3"/>
    <w:rsid w:val="006A0073"/>
    <w:rsid w:val="006A0FED"/>
    <w:rsid w:val="006A1BF5"/>
    <w:rsid w:val="006A3C30"/>
    <w:rsid w:val="006A4BA3"/>
    <w:rsid w:val="006A7D65"/>
    <w:rsid w:val="006B1195"/>
    <w:rsid w:val="006B1D29"/>
    <w:rsid w:val="006B2D1E"/>
    <w:rsid w:val="006C1A13"/>
    <w:rsid w:val="006D23C0"/>
    <w:rsid w:val="006E308B"/>
    <w:rsid w:val="006E5482"/>
    <w:rsid w:val="006F053E"/>
    <w:rsid w:val="006F16AF"/>
    <w:rsid w:val="006F28B5"/>
    <w:rsid w:val="006F2F62"/>
    <w:rsid w:val="006F4F33"/>
    <w:rsid w:val="006F53F2"/>
    <w:rsid w:val="006F5750"/>
    <w:rsid w:val="00710701"/>
    <w:rsid w:val="00710780"/>
    <w:rsid w:val="00713511"/>
    <w:rsid w:val="00715FD6"/>
    <w:rsid w:val="00717304"/>
    <w:rsid w:val="007177F9"/>
    <w:rsid w:val="00717CBC"/>
    <w:rsid w:val="00723277"/>
    <w:rsid w:val="00725184"/>
    <w:rsid w:val="00725EE2"/>
    <w:rsid w:val="00726DCA"/>
    <w:rsid w:val="00731313"/>
    <w:rsid w:val="00736F57"/>
    <w:rsid w:val="00740D16"/>
    <w:rsid w:val="007419A7"/>
    <w:rsid w:val="00741AF2"/>
    <w:rsid w:val="0074288F"/>
    <w:rsid w:val="0074414A"/>
    <w:rsid w:val="00745347"/>
    <w:rsid w:val="00745DC8"/>
    <w:rsid w:val="007464E7"/>
    <w:rsid w:val="00747324"/>
    <w:rsid w:val="0074770A"/>
    <w:rsid w:val="00747DFA"/>
    <w:rsid w:val="0075094A"/>
    <w:rsid w:val="00751683"/>
    <w:rsid w:val="007525A8"/>
    <w:rsid w:val="0075492B"/>
    <w:rsid w:val="00755E3B"/>
    <w:rsid w:val="007564F7"/>
    <w:rsid w:val="00760065"/>
    <w:rsid w:val="00760672"/>
    <w:rsid w:val="00761DAC"/>
    <w:rsid w:val="00763461"/>
    <w:rsid w:val="00764147"/>
    <w:rsid w:val="00766E9A"/>
    <w:rsid w:val="0077023B"/>
    <w:rsid w:val="007756C6"/>
    <w:rsid w:val="00780DE5"/>
    <w:rsid w:val="00781AE1"/>
    <w:rsid w:val="00782197"/>
    <w:rsid w:val="0078630D"/>
    <w:rsid w:val="007901DB"/>
    <w:rsid w:val="00793515"/>
    <w:rsid w:val="00794E94"/>
    <w:rsid w:val="00797EFC"/>
    <w:rsid w:val="007A60E6"/>
    <w:rsid w:val="007B085C"/>
    <w:rsid w:val="007B0AB2"/>
    <w:rsid w:val="007B22B9"/>
    <w:rsid w:val="007B2A82"/>
    <w:rsid w:val="007C1706"/>
    <w:rsid w:val="007C5914"/>
    <w:rsid w:val="007D6844"/>
    <w:rsid w:val="007E0840"/>
    <w:rsid w:val="007E6DC4"/>
    <w:rsid w:val="007E7CE1"/>
    <w:rsid w:val="007F494E"/>
    <w:rsid w:val="007F6892"/>
    <w:rsid w:val="007F6FC2"/>
    <w:rsid w:val="007F7092"/>
    <w:rsid w:val="007F7DC7"/>
    <w:rsid w:val="00800A07"/>
    <w:rsid w:val="00800F6B"/>
    <w:rsid w:val="0080599D"/>
    <w:rsid w:val="008059EA"/>
    <w:rsid w:val="00807F53"/>
    <w:rsid w:val="00811C98"/>
    <w:rsid w:val="00814549"/>
    <w:rsid w:val="008147BA"/>
    <w:rsid w:val="0081629C"/>
    <w:rsid w:val="008167CD"/>
    <w:rsid w:val="00833663"/>
    <w:rsid w:val="008344F9"/>
    <w:rsid w:val="008348DA"/>
    <w:rsid w:val="00840FC9"/>
    <w:rsid w:val="00841709"/>
    <w:rsid w:val="00841B40"/>
    <w:rsid w:val="00847D29"/>
    <w:rsid w:val="00857B01"/>
    <w:rsid w:val="00860356"/>
    <w:rsid w:val="008622B9"/>
    <w:rsid w:val="00871AE7"/>
    <w:rsid w:val="008760E8"/>
    <w:rsid w:val="00876895"/>
    <w:rsid w:val="00880018"/>
    <w:rsid w:val="00880BBD"/>
    <w:rsid w:val="00881F1F"/>
    <w:rsid w:val="00885164"/>
    <w:rsid w:val="008854F0"/>
    <w:rsid w:val="0088573A"/>
    <w:rsid w:val="00892481"/>
    <w:rsid w:val="00896995"/>
    <w:rsid w:val="008A1614"/>
    <w:rsid w:val="008B0762"/>
    <w:rsid w:val="008B2FBA"/>
    <w:rsid w:val="008B596A"/>
    <w:rsid w:val="008B5C1D"/>
    <w:rsid w:val="008C0B0F"/>
    <w:rsid w:val="008C3429"/>
    <w:rsid w:val="008C3D49"/>
    <w:rsid w:val="008C45C3"/>
    <w:rsid w:val="008C4F79"/>
    <w:rsid w:val="008C6474"/>
    <w:rsid w:val="008C6D03"/>
    <w:rsid w:val="008D13FD"/>
    <w:rsid w:val="008D70B3"/>
    <w:rsid w:val="008D7304"/>
    <w:rsid w:val="008E0E98"/>
    <w:rsid w:val="008E673F"/>
    <w:rsid w:val="008F00CC"/>
    <w:rsid w:val="008F0C8D"/>
    <w:rsid w:val="008F1960"/>
    <w:rsid w:val="008F425C"/>
    <w:rsid w:val="008F52AB"/>
    <w:rsid w:val="008F55AF"/>
    <w:rsid w:val="008F5811"/>
    <w:rsid w:val="00901E98"/>
    <w:rsid w:val="00903CF5"/>
    <w:rsid w:val="009045C2"/>
    <w:rsid w:val="00904AE4"/>
    <w:rsid w:val="00905D4A"/>
    <w:rsid w:val="00907E15"/>
    <w:rsid w:val="009128EB"/>
    <w:rsid w:val="009157BF"/>
    <w:rsid w:val="0091697B"/>
    <w:rsid w:val="00922CE7"/>
    <w:rsid w:val="00930A1C"/>
    <w:rsid w:val="00942B6E"/>
    <w:rsid w:val="009433B6"/>
    <w:rsid w:val="00943933"/>
    <w:rsid w:val="00944E24"/>
    <w:rsid w:val="00945F3D"/>
    <w:rsid w:val="009460E9"/>
    <w:rsid w:val="00946FDC"/>
    <w:rsid w:val="0094701F"/>
    <w:rsid w:val="009542C3"/>
    <w:rsid w:val="00954451"/>
    <w:rsid w:val="00954ACF"/>
    <w:rsid w:val="0095634B"/>
    <w:rsid w:val="009571D3"/>
    <w:rsid w:val="00957826"/>
    <w:rsid w:val="0096043A"/>
    <w:rsid w:val="009615D7"/>
    <w:rsid w:val="00961F4B"/>
    <w:rsid w:val="00962FC9"/>
    <w:rsid w:val="00967234"/>
    <w:rsid w:val="00967806"/>
    <w:rsid w:val="009710F3"/>
    <w:rsid w:val="00971D49"/>
    <w:rsid w:val="00972DD7"/>
    <w:rsid w:val="0098046E"/>
    <w:rsid w:val="009826E3"/>
    <w:rsid w:val="00987DE7"/>
    <w:rsid w:val="00993A72"/>
    <w:rsid w:val="00994D84"/>
    <w:rsid w:val="009960DB"/>
    <w:rsid w:val="00996D1C"/>
    <w:rsid w:val="00997904"/>
    <w:rsid w:val="009A02D0"/>
    <w:rsid w:val="009A1A66"/>
    <w:rsid w:val="009A34A4"/>
    <w:rsid w:val="009C7AD5"/>
    <w:rsid w:val="009C7F67"/>
    <w:rsid w:val="009D0145"/>
    <w:rsid w:val="009D0DCD"/>
    <w:rsid w:val="009D3537"/>
    <w:rsid w:val="009D4E25"/>
    <w:rsid w:val="009D4F00"/>
    <w:rsid w:val="009D7188"/>
    <w:rsid w:val="009E231D"/>
    <w:rsid w:val="009E478B"/>
    <w:rsid w:val="009E7822"/>
    <w:rsid w:val="009E7F28"/>
    <w:rsid w:val="009F04A5"/>
    <w:rsid w:val="009F0FA9"/>
    <w:rsid w:val="009F2E7F"/>
    <w:rsid w:val="009F3AE6"/>
    <w:rsid w:val="009F4085"/>
    <w:rsid w:val="00A00BCA"/>
    <w:rsid w:val="00A01650"/>
    <w:rsid w:val="00A028FC"/>
    <w:rsid w:val="00A04685"/>
    <w:rsid w:val="00A06933"/>
    <w:rsid w:val="00A1231F"/>
    <w:rsid w:val="00A1266F"/>
    <w:rsid w:val="00A13488"/>
    <w:rsid w:val="00A15BBB"/>
    <w:rsid w:val="00A164AC"/>
    <w:rsid w:val="00A20863"/>
    <w:rsid w:val="00A257AB"/>
    <w:rsid w:val="00A26617"/>
    <w:rsid w:val="00A27B60"/>
    <w:rsid w:val="00A3062E"/>
    <w:rsid w:val="00A3091E"/>
    <w:rsid w:val="00A330B4"/>
    <w:rsid w:val="00A34723"/>
    <w:rsid w:val="00A35917"/>
    <w:rsid w:val="00A359F3"/>
    <w:rsid w:val="00A365D2"/>
    <w:rsid w:val="00A36ED4"/>
    <w:rsid w:val="00A37697"/>
    <w:rsid w:val="00A413FE"/>
    <w:rsid w:val="00A45E65"/>
    <w:rsid w:val="00A475B3"/>
    <w:rsid w:val="00A478DA"/>
    <w:rsid w:val="00A47D51"/>
    <w:rsid w:val="00A63703"/>
    <w:rsid w:val="00A73D91"/>
    <w:rsid w:val="00A759F2"/>
    <w:rsid w:val="00A764E0"/>
    <w:rsid w:val="00A81CDA"/>
    <w:rsid w:val="00A82B8A"/>
    <w:rsid w:val="00A84F20"/>
    <w:rsid w:val="00A918B9"/>
    <w:rsid w:val="00A9472E"/>
    <w:rsid w:val="00A95364"/>
    <w:rsid w:val="00A96BCD"/>
    <w:rsid w:val="00AA22A9"/>
    <w:rsid w:val="00AA2A65"/>
    <w:rsid w:val="00AA4923"/>
    <w:rsid w:val="00AB2ACD"/>
    <w:rsid w:val="00AB2D4C"/>
    <w:rsid w:val="00AB54D8"/>
    <w:rsid w:val="00AB6F36"/>
    <w:rsid w:val="00AB7542"/>
    <w:rsid w:val="00AB7AC7"/>
    <w:rsid w:val="00AC1CA5"/>
    <w:rsid w:val="00AC30DE"/>
    <w:rsid w:val="00AC35DF"/>
    <w:rsid w:val="00AC7026"/>
    <w:rsid w:val="00AC7EF8"/>
    <w:rsid w:val="00AD56E8"/>
    <w:rsid w:val="00AD6165"/>
    <w:rsid w:val="00AE13BA"/>
    <w:rsid w:val="00AE418D"/>
    <w:rsid w:val="00AE7987"/>
    <w:rsid w:val="00AF0DA9"/>
    <w:rsid w:val="00B04FA4"/>
    <w:rsid w:val="00B15165"/>
    <w:rsid w:val="00B17C05"/>
    <w:rsid w:val="00B20694"/>
    <w:rsid w:val="00B23683"/>
    <w:rsid w:val="00B24995"/>
    <w:rsid w:val="00B25E09"/>
    <w:rsid w:val="00B26ACE"/>
    <w:rsid w:val="00B3058E"/>
    <w:rsid w:val="00B31303"/>
    <w:rsid w:val="00B36601"/>
    <w:rsid w:val="00B40482"/>
    <w:rsid w:val="00B42B9B"/>
    <w:rsid w:val="00B434EC"/>
    <w:rsid w:val="00B51F93"/>
    <w:rsid w:val="00B547DA"/>
    <w:rsid w:val="00B576D5"/>
    <w:rsid w:val="00B6575B"/>
    <w:rsid w:val="00B65F06"/>
    <w:rsid w:val="00B67152"/>
    <w:rsid w:val="00B75B7C"/>
    <w:rsid w:val="00B85545"/>
    <w:rsid w:val="00B910DB"/>
    <w:rsid w:val="00B92713"/>
    <w:rsid w:val="00B9447B"/>
    <w:rsid w:val="00B95D84"/>
    <w:rsid w:val="00B96348"/>
    <w:rsid w:val="00BA1479"/>
    <w:rsid w:val="00BA20D4"/>
    <w:rsid w:val="00BB4FEA"/>
    <w:rsid w:val="00BB65EF"/>
    <w:rsid w:val="00BC205D"/>
    <w:rsid w:val="00BC3AA8"/>
    <w:rsid w:val="00BD11D1"/>
    <w:rsid w:val="00BD1DD9"/>
    <w:rsid w:val="00BD4045"/>
    <w:rsid w:val="00BE0A11"/>
    <w:rsid w:val="00BE219B"/>
    <w:rsid w:val="00BE2C35"/>
    <w:rsid w:val="00BE5707"/>
    <w:rsid w:val="00BE5825"/>
    <w:rsid w:val="00BE7A65"/>
    <w:rsid w:val="00BF0FD1"/>
    <w:rsid w:val="00BF34DA"/>
    <w:rsid w:val="00BF52B9"/>
    <w:rsid w:val="00C00349"/>
    <w:rsid w:val="00C01734"/>
    <w:rsid w:val="00C03165"/>
    <w:rsid w:val="00C05C10"/>
    <w:rsid w:val="00C06E4E"/>
    <w:rsid w:val="00C10614"/>
    <w:rsid w:val="00C12562"/>
    <w:rsid w:val="00C14A0E"/>
    <w:rsid w:val="00C16EA5"/>
    <w:rsid w:val="00C1789F"/>
    <w:rsid w:val="00C20E3E"/>
    <w:rsid w:val="00C230EC"/>
    <w:rsid w:val="00C2620F"/>
    <w:rsid w:val="00C27B20"/>
    <w:rsid w:val="00C27D9E"/>
    <w:rsid w:val="00C30C66"/>
    <w:rsid w:val="00C3192C"/>
    <w:rsid w:val="00C323BE"/>
    <w:rsid w:val="00C32EE5"/>
    <w:rsid w:val="00C3313D"/>
    <w:rsid w:val="00C369A7"/>
    <w:rsid w:val="00C40FB9"/>
    <w:rsid w:val="00C47A9E"/>
    <w:rsid w:val="00C5425B"/>
    <w:rsid w:val="00C54722"/>
    <w:rsid w:val="00C54DED"/>
    <w:rsid w:val="00C56E70"/>
    <w:rsid w:val="00C62C6A"/>
    <w:rsid w:val="00C63C32"/>
    <w:rsid w:val="00C66329"/>
    <w:rsid w:val="00C74DC6"/>
    <w:rsid w:val="00C75034"/>
    <w:rsid w:val="00C75958"/>
    <w:rsid w:val="00C825F4"/>
    <w:rsid w:val="00C85C59"/>
    <w:rsid w:val="00C91C57"/>
    <w:rsid w:val="00C962B5"/>
    <w:rsid w:val="00CA1015"/>
    <w:rsid w:val="00CA2454"/>
    <w:rsid w:val="00CA316B"/>
    <w:rsid w:val="00CA4C48"/>
    <w:rsid w:val="00CB045F"/>
    <w:rsid w:val="00CB1528"/>
    <w:rsid w:val="00CB3DED"/>
    <w:rsid w:val="00CB5807"/>
    <w:rsid w:val="00CC2395"/>
    <w:rsid w:val="00CC38CB"/>
    <w:rsid w:val="00CC5A59"/>
    <w:rsid w:val="00CD05C6"/>
    <w:rsid w:val="00CD1ACC"/>
    <w:rsid w:val="00CD6832"/>
    <w:rsid w:val="00CE0241"/>
    <w:rsid w:val="00CE0EF9"/>
    <w:rsid w:val="00CE3A15"/>
    <w:rsid w:val="00CE5F3A"/>
    <w:rsid w:val="00CE6A2C"/>
    <w:rsid w:val="00CE7200"/>
    <w:rsid w:val="00CE7692"/>
    <w:rsid w:val="00CF0465"/>
    <w:rsid w:val="00D00646"/>
    <w:rsid w:val="00D01E27"/>
    <w:rsid w:val="00D036D1"/>
    <w:rsid w:val="00D0751B"/>
    <w:rsid w:val="00D15F13"/>
    <w:rsid w:val="00D16A22"/>
    <w:rsid w:val="00D205D2"/>
    <w:rsid w:val="00D22099"/>
    <w:rsid w:val="00D24B12"/>
    <w:rsid w:val="00D268F6"/>
    <w:rsid w:val="00D26D0B"/>
    <w:rsid w:val="00D30391"/>
    <w:rsid w:val="00D31611"/>
    <w:rsid w:val="00D31D2D"/>
    <w:rsid w:val="00D31E89"/>
    <w:rsid w:val="00D3256D"/>
    <w:rsid w:val="00D33D61"/>
    <w:rsid w:val="00D35A51"/>
    <w:rsid w:val="00D40348"/>
    <w:rsid w:val="00D43F15"/>
    <w:rsid w:val="00D47983"/>
    <w:rsid w:val="00D504E3"/>
    <w:rsid w:val="00D519F7"/>
    <w:rsid w:val="00D51EDE"/>
    <w:rsid w:val="00D528F4"/>
    <w:rsid w:val="00D6154D"/>
    <w:rsid w:val="00D62B68"/>
    <w:rsid w:val="00D656EB"/>
    <w:rsid w:val="00D673CF"/>
    <w:rsid w:val="00D7326C"/>
    <w:rsid w:val="00D771D4"/>
    <w:rsid w:val="00D775AB"/>
    <w:rsid w:val="00D810E5"/>
    <w:rsid w:val="00D820A9"/>
    <w:rsid w:val="00D82640"/>
    <w:rsid w:val="00D84C55"/>
    <w:rsid w:val="00D850B7"/>
    <w:rsid w:val="00D8540C"/>
    <w:rsid w:val="00D85B68"/>
    <w:rsid w:val="00D9181B"/>
    <w:rsid w:val="00D94037"/>
    <w:rsid w:val="00D95708"/>
    <w:rsid w:val="00DA1E97"/>
    <w:rsid w:val="00DA3FB5"/>
    <w:rsid w:val="00DB4BCA"/>
    <w:rsid w:val="00DC0458"/>
    <w:rsid w:val="00DC07B6"/>
    <w:rsid w:val="00DC14B5"/>
    <w:rsid w:val="00DC2A4B"/>
    <w:rsid w:val="00DC6456"/>
    <w:rsid w:val="00DD11F4"/>
    <w:rsid w:val="00DD31A1"/>
    <w:rsid w:val="00DD42BA"/>
    <w:rsid w:val="00DD7B17"/>
    <w:rsid w:val="00DE0838"/>
    <w:rsid w:val="00DE1BCF"/>
    <w:rsid w:val="00DE75A3"/>
    <w:rsid w:val="00DE7A77"/>
    <w:rsid w:val="00DF0AA2"/>
    <w:rsid w:val="00DF3BD7"/>
    <w:rsid w:val="00E02022"/>
    <w:rsid w:val="00E021C4"/>
    <w:rsid w:val="00E02670"/>
    <w:rsid w:val="00E032F3"/>
    <w:rsid w:val="00E05230"/>
    <w:rsid w:val="00E0695D"/>
    <w:rsid w:val="00E07389"/>
    <w:rsid w:val="00E12007"/>
    <w:rsid w:val="00E13583"/>
    <w:rsid w:val="00E21432"/>
    <w:rsid w:val="00E2173E"/>
    <w:rsid w:val="00E21C6B"/>
    <w:rsid w:val="00E227DC"/>
    <w:rsid w:val="00E232CA"/>
    <w:rsid w:val="00E24158"/>
    <w:rsid w:val="00E27A84"/>
    <w:rsid w:val="00E3076E"/>
    <w:rsid w:val="00E31624"/>
    <w:rsid w:val="00E3363C"/>
    <w:rsid w:val="00E34797"/>
    <w:rsid w:val="00E36F12"/>
    <w:rsid w:val="00E46097"/>
    <w:rsid w:val="00E46E41"/>
    <w:rsid w:val="00E51901"/>
    <w:rsid w:val="00E52A97"/>
    <w:rsid w:val="00E52D7A"/>
    <w:rsid w:val="00E55968"/>
    <w:rsid w:val="00E56030"/>
    <w:rsid w:val="00E619ED"/>
    <w:rsid w:val="00E639E6"/>
    <w:rsid w:val="00E649B9"/>
    <w:rsid w:val="00E65EF3"/>
    <w:rsid w:val="00E67F45"/>
    <w:rsid w:val="00E727FF"/>
    <w:rsid w:val="00E72A57"/>
    <w:rsid w:val="00E73CFC"/>
    <w:rsid w:val="00E8062D"/>
    <w:rsid w:val="00E811A7"/>
    <w:rsid w:val="00E82017"/>
    <w:rsid w:val="00E914D0"/>
    <w:rsid w:val="00E94AF0"/>
    <w:rsid w:val="00EA7FE9"/>
    <w:rsid w:val="00EB0947"/>
    <w:rsid w:val="00EB3310"/>
    <w:rsid w:val="00EB539C"/>
    <w:rsid w:val="00EC03C1"/>
    <w:rsid w:val="00EC1231"/>
    <w:rsid w:val="00EC442E"/>
    <w:rsid w:val="00EC6A5F"/>
    <w:rsid w:val="00ED0C6E"/>
    <w:rsid w:val="00ED0F39"/>
    <w:rsid w:val="00ED2044"/>
    <w:rsid w:val="00ED3E5E"/>
    <w:rsid w:val="00ED499D"/>
    <w:rsid w:val="00EE299C"/>
    <w:rsid w:val="00EE2F9E"/>
    <w:rsid w:val="00EE32A0"/>
    <w:rsid w:val="00EE50CF"/>
    <w:rsid w:val="00EE760D"/>
    <w:rsid w:val="00EF1106"/>
    <w:rsid w:val="00EF2697"/>
    <w:rsid w:val="00EF4267"/>
    <w:rsid w:val="00EF4E4E"/>
    <w:rsid w:val="00EF5516"/>
    <w:rsid w:val="00F0061B"/>
    <w:rsid w:val="00F05751"/>
    <w:rsid w:val="00F05A29"/>
    <w:rsid w:val="00F06F89"/>
    <w:rsid w:val="00F07977"/>
    <w:rsid w:val="00F1221C"/>
    <w:rsid w:val="00F15B6D"/>
    <w:rsid w:val="00F20DB9"/>
    <w:rsid w:val="00F23654"/>
    <w:rsid w:val="00F3170E"/>
    <w:rsid w:val="00F32E69"/>
    <w:rsid w:val="00F3596F"/>
    <w:rsid w:val="00F3776D"/>
    <w:rsid w:val="00F37B9B"/>
    <w:rsid w:val="00F46764"/>
    <w:rsid w:val="00F47D23"/>
    <w:rsid w:val="00F50CF9"/>
    <w:rsid w:val="00F5184D"/>
    <w:rsid w:val="00F51F43"/>
    <w:rsid w:val="00F544D6"/>
    <w:rsid w:val="00F57230"/>
    <w:rsid w:val="00F62993"/>
    <w:rsid w:val="00F654BD"/>
    <w:rsid w:val="00F7039D"/>
    <w:rsid w:val="00F709FA"/>
    <w:rsid w:val="00F70CB7"/>
    <w:rsid w:val="00F72D08"/>
    <w:rsid w:val="00F73C65"/>
    <w:rsid w:val="00F74930"/>
    <w:rsid w:val="00F764F8"/>
    <w:rsid w:val="00F81255"/>
    <w:rsid w:val="00F854F1"/>
    <w:rsid w:val="00F85989"/>
    <w:rsid w:val="00F876FB"/>
    <w:rsid w:val="00F9259B"/>
    <w:rsid w:val="00FA024B"/>
    <w:rsid w:val="00FA3216"/>
    <w:rsid w:val="00FA5310"/>
    <w:rsid w:val="00FA5810"/>
    <w:rsid w:val="00FA71DC"/>
    <w:rsid w:val="00FB1298"/>
    <w:rsid w:val="00FB4ACB"/>
    <w:rsid w:val="00FB71CA"/>
    <w:rsid w:val="00FC0AA0"/>
    <w:rsid w:val="00FC0AA6"/>
    <w:rsid w:val="00FC1D17"/>
    <w:rsid w:val="00FC2698"/>
    <w:rsid w:val="00FC281B"/>
    <w:rsid w:val="00FC5B75"/>
    <w:rsid w:val="00FC6983"/>
    <w:rsid w:val="00FD324D"/>
    <w:rsid w:val="00FD439F"/>
    <w:rsid w:val="00FD5CDB"/>
    <w:rsid w:val="00FE0969"/>
    <w:rsid w:val="00FE4130"/>
    <w:rsid w:val="00FE423C"/>
    <w:rsid w:val="00FE4B56"/>
    <w:rsid w:val="00FE6A83"/>
    <w:rsid w:val="00FF0C6C"/>
    <w:rsid w:val="00FF0D45"/>
    <w:rsid w:val="00FF3F84"/>
    <w:rsid w:val="00FF4001"/>
    <w:rsid w:val="00FF4C8E"/>
    <w:rsid w:val="00FF50D7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CF2B2E"/>
  <w15:docId w15:val="{B6F12795-3B0D-40EF-83B3-9C234353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4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6E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A6E16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rsid w:val="002A6E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A6E1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0575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7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74DC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B9447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B9447B"/>
    <w:rPr>
      <w:rFonts w:ascii="Calibri" w:hAnsi="Calibri"/>
    </w:rPr>
  </w:style>
  <w:style w:type="character" w:styleId="FootnoteReference">
    <w:name w:val="footnote reference"/>
    <w:basedOn w:val="DefaultParagraphFont"/>
    <w:semiHidden/>
    <w:unhideWhenUsed/>
    <w:rsid w:val="00B9447B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9447B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B9447B"/>
    <w:rPr>
      <w:rFonts w:ascii="Calibri" w:hAnsi="Calibri"/>
    </w:rPr>
  </w:style>
  <w:style w:type="character" w:styleId="EndnoteReference">
    <w:name w:val="endnote reference"/>
    <w:basedOn w:val="DefaultParagraphFont"/>
    <w:semiHidden/>
    <w:unhideWhenUsed/>
    <w:rsid w:val="00B9447B"/>
    <w:rPr>
      <w:vertAlign w:val="superscript"/>
    </w:rPr>
  </w:style>
  <w:style w:type="paragraph" w:styleId="Revision">
    <w:name w:val="Revision"/>
    <w:hidden/>
    <w:uiPriority w:val="99"/>
    <w:semiHidden/>
    <w:rsid w:val="003B3981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8C4F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4F7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8C4F7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F79"/>
    <w:rPr>
      <w:rFonts w:ascii="Calibri" w:hAnsi="Calibri"/>
      <w:b/>
      <w:bCs/>
    </w:rPr>
  </w:style>
  <w:style w:type="character" w:styleId="Hyperlink">
    <w:name w:val="Hyperlink"/>
    <w:basedOn w:val="DefaultParagraphFont"/>
    <w:unhideWhenUsed/>
    <w:rsid w:val="004A26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6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E38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ttps://bnm.md/ro/content/regulamentului-cu-privire-la-auditul-prestatorilor-de-servicii-de-plata-nebancari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cd2b8663-d35c-49a7-97a1-373de2a22ac1</TitusGUID>
  <TitusMetadata xmlns="">eyJucyI6IioiLCJwcm9wcyI6W3sibiI6IkNsYXNpZmljYXJlIiwidmFscyI6W3sidmFsdWUiOiJTUC0yIn1dfV19</TitusMetadata>
</titus>
</file>

<file path=customXml/itemProps1.xml><?xml version="1.0" encoding="utf-8"?>
<ds:datastoreItem xmlns:ds="http://schemas.openxmlformats.org/officeDocument/2006/customXml" ds:itemID="{AC4A358E-E597-4BF8-A4B7-766B5A0307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95AA4F-1646-4FC6-87AF-CEF622C763B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2025-02-27T08:42:00Z</dcterms:created>
  <cp:lastPrinted>2025-02-27T08:47:00Z</cp:lastPrinted>
  <dcterms:modified xsi:type="dcterms:W3CDTF">2025-02-27T09:36:00Z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43643109-7481-434e-8fa0-796b1a5f6ad7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2025-02-27T09:30:55Z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1797b664-d452-438f-8bf6-b87d14e29584</vt:lpwstr>
  </property>
  <property fmtid="{D5CDD505-2E9C-101B-9397-08002B2CF9AE}" pid="10" name="MSIP_Label_38962dcf-d39f-4edc-a396-338a56ba9170_ContentBits">
    <vt:lpwstr>0</vt:lpwstr>
  </property>
</Properties>
</file>