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8E970" w14:textId="77777777" w:rsidR="009A16FF" w:rsidRPr="00A10A29" w:rsidRDefault="009A16FF" w:rsidP="009A16FF">
      <w:pPr>
        <w:tabs>
          <w:tab w:val="left" w:pos="10206"/>
        </w:tabs>
        <w:ind w:right="-1"/>
        <w:jc w:val="right"/>
        <w:rPr>
          <w:lang w:val="ro-MD"/>
        </w:rPr>
      </w:pPr>
      <w:r w:rsidRPr="00A10A29">
        <w:rPr>
          <w:lang w:val="ro-MD"/>
        </w:rPr>
        <w:t>Proiect</w:t>
      </w:r>
    </w:p>
    <w:p w14:paraId="64BA86E7" w14:textId="77777777" w:rsidR="009A16FF" w:rsidRDefault="009A16FF" w:rsidP="009A16FF">
      <w:pPr>
        <w:tabs>
          <w:tab w:val="left" w:pos="5954"/>
        </w:tabs>
        <w:ind w:left="5954"/>
        <w:jc w:val="right"/>
        <w:rPr>
          <w:b/>
          <w:lang w:val="ro-MD"/>
        </w:rPr>
      </w:pPr>
    </w:p>
    <w:p w14:paraId="7CDD836B" w14:textId="77777777" w:rsidR="009A16FF" w:rsidRPr="00A10A29" w:rsidRDefault="009A16FF" w:rsidP="009A16FF">
      <w:pPr>
        <w:tabs>
          <w:tab w:val="left" w:pos="5954"/>
        </w:tabs>
        <w:ind w:left="5954"/>
        <w:jc w:val="right"/>
        <w:rPr>
          <w:b/>
          <w:lang w:val="ro-MD"/>
        </w:rPr>
      </w:pPr>
    </w:p>
    <w:p w14:paraId="4C95D399" w14:textId="42CBEAF1" w:rsidR="009A16FF" w:rsidRDefault="003C76BC" w:rsidP="003C76BC">
      <w:pPr>
        <w:tabs>
          <w:tab w:val="left" w:pos="10206"/>
        </w:tabs>
        <w:ind w:left="1134" w:right="567"/>
        <w:jc w:val="center"/>
        <w:rPr>
          <w:b/>
          <w:lang w:val="ro-MD"/>
        </w:rPr>
      </w:pPr>
      <w:r>
        <w:rPr>
          <w:b/>
          <w:lang w:val="ro-MD"/>
        </w:rPr>
        <w:t>BANCA NAȚIONALĂ A MOLDOVEI</w:t>
      </w:r>
    </w:p>
    <w:p w14:paraId="0C403294" w14:textId="079B95DC" w:rsidR="003C76BC" w:rsidRPr="00A10A29" w:rsidRDefault="003C76BC" w:rsidP="003C76BC">
      <w:pPr>
        <w:tabs>
          <w:tab w:val="left" w:pos="10206"/>
        </w:tabs>
        <w:ind w:left="1134" w:right="567"/>
        <w:jc w:val="center"/>
        <w:rPr>
          <w:b/>
          <w:lang w:val="ro-MD"/>
        </w:rPr>
      </w:pPr>
    </w:p>
    <w:p w14:paraId="2AE362E2" w14:textId="77777777" w:rsidR="009A16FF" w:rsidRPr="00A10A29" w:rsidRDefault="009A16FF" w:rsidP="009A16FF">
      <w:pPr>
        <w:tabs>
          <w:tab w:val="left" w:pos="10206"/>
        </w:tabs>
        <w:ind w:left="1134" w:right="567"/>
        <w:jc w:val="center"/>
        <w:rPr>
          <w:b/>
          <w:lang w:val="ro-MD"/>
        </w:rPr>
      </w:pPr>
    </w:p>
    <w:p w14:paraId="70554AD2" w14:textId="77777777" w:rsidR="009A16FF" w:rsidRPr="00A10A29" w:rsidRDefault="009A16FF" w:rsidP="009A16FF">
      <w:pPr>
        <w:tabs>
          <w:tab w:val="left" w:pos="10206"/>
        </w:tabs>
        <w:ind w:left="1134" w:right="567"/>
        <w:jc w:val="center"/>
        <w:rPr>
          <w:b/>
          <w:lang w:val="ro-MD"/>
        </w:rPr>
      </w:pPr>
      <w:r w:rsidRPr="00A10A29">
        <w:rPr>
          <w:b/>
          <w:lang w:val="ro-MD"/>
        </w:rPr>
        <w:t>HOTĂRÂREA nr.</w:t>
      </w:r>
    </w:p>
    <w:p w14:paraId="13244883" w14:textId="1DF98261" w:rsidR="009A16FF" w:rsidRPr="00A10A29" w:rsidRDefault="009A16FF" w:rsidP="009A16FF">
      <w:pPr>
        <w:tabs>
          <w:tab w:val="left" w:pos="10206"/>
        </w:tabs>
        <w:ind w:left="1134" w:right="567"/>
        <w:jc w:val="center"/>
        <w:rPr>
          <w:b/>
          <w:lang w:val="ro-MD"/>
        </w:rPr>
      </w:pPr>
      <w:r w:rsidRPr="00A10A29">
        <w:rPr>
          <w:b/>
          <w:lang w:val="ro-MD"/>
        </w:rPr>
        <w:t>din „ __”_____________ 2024</w:t>
      </w:r>
    </w:p>
    <w:p w14:paraId="71FE848E" w14:textId="77777777" w:rsidR="009A16FF" w:rsidRPr="00A10A29" w:rsidRDefault="009A16FF" w:rsidP="009A16FF">
      <w:pPr>
        <w:tabs>
          <w:tab w:val="left" w:pos="10206"/>
        </w:tabs>
        <w:ind w:left="1134" w:right="567"/>
        <w:jc w:val="center"/>
        <w:rPr>
          <w:b/>
          <w:lang w:val="ro-MD"/>
        </w:rPr>
      </w:pPr>
    </w:p>
    <w:p w14:paraId="712AA96F" w14:textId="28ED7792" w:rsidR="009A16FF" w:rsidRPr="00092ACF" w:rsidRDefault="009A16FF" w:rsidP="00092ACF">
      <w:pPr>
        <w:tabs>
          <w:tab w:val="left" w:pos="10206"/>
        </w:tabs>
        <w:ind w:left="1134" w:right="567"/>
        <w:jc w:val="center"/>
        <w:rPr>
          <w:b/>
          <w:lang w:val="ro-MD"/>
        </w:rPr>
      </w:pPr>
      <w:r w:rsidRPr="00092ACF">
        <w:rPr>
          <w:b/>
          <w:lang w:val="ro-MD"/>
        </w:rPr>
        <w:t xml:space="preserve">Pentru </w:t>
      </w:r>
      <w:bookmarkStart w:id="0" w:name="_Hlk171513246"/>
      <w:r w:rsidR="00092ACF">
        <w:rPr>
          <w:b/>
          <w:lang w:val="ro-MD"/>
        </w:rPr>
        <w:t xml:space="preserve">aprobarea </w:t>
      </w:r>
      <w:r w:rsidR="00092ACF" w:rsidRPr="00092ACF">
        <w:rPr>
          <w:b/>
          <w:lang w:val="ro-MD"/>
        </w:rPr>
        <w:t>Metodologiei de calcul a indicelui de referință</w:t>
      </w:r>
      <w:r w:rsidR="00092ACF" w:rsidRPr="00092ACF">
        <w:rPr>
          <w:lang w:val="it-IT"/>
        </w:rPr>
        <w:t xml:space="preserve"> </w:t>
      </w:r>
      <w:r w:rsidR="00092ACF" w:rsidRPr="00092ACF">
        <w:rPr>
          <w:b/>
          <w:lang w:val="ro-MD"/>
        </w:rPr>
        <w:t>pentru contractele de credit</w:t>
      </w:r>
      <w:r w:rsidR="00734F53">
        <w:rPr>
          <w:b/>
          <w:lang w:val="ro-MD"/>
        </w:rPr>
        <w:t xml:space="preserve"> </w:t>
      </w:r>
      <w:bookmarkEnd w:id="0"/>
      <w:r w:rsidR="003139DD">
        <w:rPr>
          <w:b/>
          <w:lang w:val="ro-MD"/>
        </w:rPr>
        <w:t>cu dobândă flotantă</w:t>
      </w:r>
      <w:r w:rsidR="001C03B3">
        <w:rPr>
          <w:b/>
          <w:lang w:val="ro-MD"/>
        </w:rPr>
        <w:t xml:space="preserve"> pentru consumatori</w:t>
      </w:r>
    </w:p>
    <w:p w14:paraId="4B6B3568" w14:textId="3E491BDE" w:rsidR="009A16FF" w:rsidRDefault="009A16FF" w:rsidP="00EB5C3A">
      <w:pPr>
        <w:tabs>
          <w:tab w:val="left" w:pos="7725"/>
        </w:tabs>
        <w:jc w:val="center"/>
        <w:rPr>
          <w:b/>
          <w:lang w:val="ro-MD"/>
        </w:rPr>
      </w:pPr>
    </w:p>
    <w:p w14:paraId="5AC04E07" w14:textId="77777777" w:rsidR="00EB5C3A" w:rsidRPr="00EB5C3A" w:rsidRDefault="00EB5C3A" w:rsidP="00EB5C3A">
      <w:pPr>
        <w:tabs>
          <w:tab w:val="left" w:pos="7725"/>
        </w:tabs>
        <w:jc w:val="center"/>
        <w:rPr>
          <w:b/>
          <w:lang w:val="ro-MD"/>
        </w:rPr>
      </w:pPr>
    </w:p>
    <w:p w14:paraId="6AECBC88" w14:textId="77777777" w:rsidR="009A16FF" w:rsidRPr="00EB5C3A" w:rsidRDefault="009A16FF" w:rsidP="00EB5C3A">
      <w:pPr>
        <w:jc w:val="center"/>
        <w:rPr>
          <w:i/>
          <w:lang w:val="ro-MD"/>
        </w:rPr>
      </w:pPr>
    </w:p>
    <w:p w14:paraId="1709A0E0" w14:textId="77777777" w:rsidR="009A16FF" w:rsidRPr="00EB5C3A" w:rsidRDefault="009A16FF" w:rsidP="00EB5C3A">
      <w:pPr>
        <w:jc w:val="center"/>
        <w:rPr>
          <w:lang w:val="ro-MD"/>
        </w:rPr>
      </w:pPr>
    </w:p>
    <w:p w14:paraId="676D6167" w14:textId="302912E3" w:rsidR="009A16FF" w:rsidRPr="00EB5C3A" w:rsidRDefault="002B5614" w:rsidP="00962B1C">
      <w:pPr>
        <w:ind w:firstLine="426"/>
        <w:jc w:val="both"/>
        <w:rPr>
          <w:rFonts w:eastAsia="Calibri"/>
          <w:lang w:val="ro-MD"/>
        </w:rPr>
      </w:pPr>
      <w:r w:rsidRPr="00EB5C3A">
        <w:rPr>
          <w:lang w:val="ro-MD"/>
        </w:rPr>
        <w:t>În temeiul art.27 alin.(1) lit.</w:t>
      </w:r>
      <w:r w:rsidR="00AD5CD0">
        <w:rPr>
          <w:lang w:val="ro-MD"/>
        </w:rPr>
        <w:t xml:space="preserve"> </w:t>
      </w:r>
      <w:r w:rsidRPr="00EB5C3A">
        <w:rPr>
          <w:lang w:val="ro-MD"/>
        </w:rPr>
        <w:t xml:space="preserve">c) din Legea nr.548/1995 cu privire la Banca </w:t>
      </w:r>
      <w:r w:rsidR="00950BB7" w:rsidRPr="00EB5C3A">
        <w:rPr>
          <w:lang w:val="ro-MD"/>
        </w:rPr>
        <w:t>Națională</w:t>
      </w:r>
      <w:r w:rsidRPr="00EB5C3A">
        <w:rPr>
          <w:lang w:val="ro-MD"/>
        </w:rPr>
        <w:t xml:space="preserve"> a Moldovei (republicată în Monitorul Oficial al Republicii Moldova, 2015, nr.297-300, art.544),</w:t>
      </w:r>
      <w:r w:rsidR="009A16FF" w:rsidRPr="00EB5C3A">
        <w:rPr>
          <w:rFonts w:eastAsia="Calibri"/>
          <w:lang w:val="ro-MD"/>
        </w:rPr>
        <w:t xml:space="preserve"> </w:t>
      </w:r>
      <w:r w:rsidRPr="00EB5C3A">
        <w:rPr>
          <w:rFonts w:eastAsia="Calibri"/>
          <w:lang w:val="ro-MD"/>
        </w:rPr>
        <w:t xml:space="preserve">art.13 lit. a) </w:t>
      </w:r>
      <w:r w:rsidR="00950BB7" w:rsidRPr="00EB5C3A">
        <w:rPr>
          <w:snapToGrid w:val="0"/>
          <w:lang w:val="ro-RO"/>
        </w:rPr>
        <w:t xml:space="preserve">din </w:t>
      </w:r>
      <w:r w:rsidR="00950BB7" w:rsidRPr="00EB5C3A">
        <w:rPr>
          <w:lang w:val="ro-RO"/>
        </w:rPr>
        <w:t xml:space="preserve">Legea nr. </w:t>
      </w:r>
      <w:r w:rsidR="003465A7">
        <w:rPr>
          <w:lang w:val="ro-RO"/>
        </w:rPr>
        <w:t>202/2013</w:t>
      </w:r>
      <w:r w:rsidR="00950BB7" w:rsidRPr="00EB5C3A">
        <w:rPr>
          <w:lang w:val="ro-RO"/>
        </w:rPr>
        <w:t xml:space="preserve"> privind contractele de credit pentru consumatori (Monitorul Oficial </w:t>
      </w:r>
      <w:r w:rsidR="0075787B">
        <w:rPr>
          <w:lang w:val="ro-RO"/>
        </w:rPr>
        <w:t>n</w:t>
      </w:r>
      <w:r w:rsidR="00950BB7" w:rsidRPr="00EB5C3A">
        <w:rPr>
          <w:lang w:val="ro-RO"/>
        </w:rPr>
        <w:t xml:space="preserve">r. 191-197 art. 619), </w:t>
      </w:r>
      <w:r w:rsidR="009A16FF" w:rsidRPr="00EB5C3A">
        <w:rPr>
          <w:rFonts w:eastAsia="Calibri"/>
          <w:lang w:val="ro-MD"/>
        </w:rPr>
        <w:t>Comitetul executiv al Băncii Naționale a Moldovei</w:t>
      </w:r>
    </w:p>
    <w:p w14:paraId="6A3E96D0" w14:textId="77777777" w:rsidR="009A16FF" w:rsidRPr="00EB5C3A" w:rsidRDefault="009A16FF" w:rsidP="009A16FF">
      <w:pPr>
        <w:jc w:val="center"/>
        <w:rPr>
          <w:b/>
          <w:lang w:val="ro-MD"/>
        </w:rPr>
      </w:pPr>
    </w:p>
    <w:p w14:paraId="7E2CA710" w14:textId="77777777" w:rsidR="009A16FF" w:rsidRPr="008346AC" w:rsidRDefault="009A16FF" w:rsidP="009A16FF">
      <w:pPr>
        <w:jc w:val="center"/>
        <w:rPr>
          <w:b/>
          <w:lang w:val="en-US"/>
        </w:rPr>
      </w:pPr>
      <w:r w:rsidRPr="00EB5C3A">
        <w:rPr>
          <w:b/>
          <w:lang w:val="ro-MD"/>
        </w:rPr>
        <w:t>HOTĂRĂŞTE:</w:t>
      </w:r>
    </w:p>
    <w:p w14:paraId="12121A89" w14:textId="77777777" w:rsidR="009A16FF" w:rsidRPr="00EB5C3A" w:rsidRDefault="009A16FF" w:rsidP="009A16FF">
      <w:pPr>
        <w:jc w:val="center"/>
        <w:rPr>
          <w:b/>
          <w:lang w:val="ro-MD"/>
        </w:rPr>
      </w:pPr>
    </w:p>
    <w:p w14:paraId="5B90A7D9" w14:textId="5D3F92AE" w:rsidR="009A16FF" w:rsidRPr="00092ACF" w:rsidRDefault="009A16FF" w:rsidP="009A16FF">
      <w:pPr>
        <w:numPr>
          <w:ilvl w:val="0"/>
          <w:numId w:val="3"/>
        </w:numPr>
        <w:tabs>
          <w:tab w:val="left" w:pos="426"/>
        </w:tabs>
        <w:ind w:left="0" w:firstLine="360"/>
        <w:contextualSpacing/>
        <w:jc w:val="both"/>
        <w:rPr>
          <w:lang w:val="ro-MD"/>
        </w:rPr>
      </w:pPr>
      <w:r w:rsidRPr="00EB5C3A">
        <w:rPr>
          <w:lang w:val="ro-MD"/>
        </w:rPr>
        <w:t xml:space="preserve">Se aprobă </w:t>
      </w:r>
      <w:r w:rsidR="00092ACF" w:rsidRPr="00EB5C3A">
        <w:rPr>
          <w:rFonts w:eastAsia="Calibri"/>
          <w:lang w:val="ro-MD"/>
        </w:rPr>
        <w:t xml:space="preserve">Metodologia </w:t>
      </w:r>
      <w:r w:rsidR="003F3A1E" w:rsidRPr="003F3A1E">
        <w:rPr>
          <w:rFonts w:eastAsia="Calibri"/>
          <w:lang w:val="ro-MD"/>
        </w:rPr>
        <w:t xml:space="preserve">de calcul a indicelui de referință pentru contractele de credit cu dobândă flotantă </w:t>
      </w:r>
      <w:r w:rsidR="001C03B3" w:rsidRPr="001C03B3">
        <w:rPr>
          <w:rFonts w:eastAsia="Calibri"/>
          <w:lang w:val="ro-MD"/>
        </w:rPr>
        <w:t xml:space="preserve">pentru consumatori </w:t>
      </w:r>
      <w:r w:rsidRPr="00092ACF">
        <w:rPr>
          <w:rFonts w:eastAsia="Calibri"/>
          <w:lang w:val="ro-MD"/>
        </w:rPr>
        <w:t xml:space="preserve">(se anexează). </w:t>
      </w:r>
    </w:p>
    <w:p w14:paraId="578424DE" w14:textId="6753B0E3" w:rsidR="009A16FF" w:rsidRPr="00950BB7" w:rsidRDefault="009A16FF" w:rsidP="009A16FF">
      <w:pPr>
        <w:pStyle w:val="ListParagraph"/>
        <w:numPr>
          <w:ilvl w:val="0"/>
          <w:numId w:val="3"/>
        </w:numPr>
        <w:tabs>
          <w:tab w:val="left" w:pos="426"/>
        </w:tabs>
        <w:ind w:left="0" w:firstLine="360"/>
        <w:jc w:val="both"/>
        <w:rPr>
          <w:lang w:val="ro-MD"/>
        </w:rPr>
      </w:pPr>
      <w:r w:rsidRPr="00950BB7">
        <w:rPr>
          <w:rFonts w:eastAsia="Calibri"/>
          <w:lang w:val="ro-MD"/>
        </w:rPr>
        <w:t xml:space="preserve">Prezenta hotărâre </w:t>
      </w:r>
      <w:r w:rsidRPr="00255BC5">
        <w:rPr>
          <w:rFonts w:eastAsia="Calibri"/>
          <w:lang w:val="ro-MD"/>
        </w:rPr>
        <w:t xml:space="preserve">intră în vigoare la </w:t>
      </w:r>
      <w:r w:rsidR="00D942BE">
        <w:rPr>
          <w:rFonts w:eastAsia="Calibri"/>
          <w:lang w:val="ro-MD"/>
        </w:rPr>
        <w:t xml:space="preserve">expirarea a o lună de la </w:t>
      </w:r>
      <w:r w:rsidRPr="00255BC5">
        <w:rPr>
          <w:rFonts w:eastAsia="Calibri"/>
          <w:lang w:val="ro-MD"/>
        </w:rPr>
        <w:t>data publicării</w:t>
      </w:r>
      <w:r w:rsidRPr="00950BB7">
        <w:rPr>
          <w:rFonts w:eastAsia="Calibri"/>
          <w:lang w:val="ro-MD"/>
        </w:rPr>
        <w:t xml:space="preserve"> în Monitorul Oficial al Republicii Moldova.</w:t>
      </w:r>
    </w:p>
    <w:p w14:paraId="03874E37" w14:textId="3A89FAE0" w:rsidR="009A16FF" w:rsidRPr="00255BC5" w:rsidRDefault="009A16FF" w:rsidP="009A16FF">
      <w:pPr>
        <w:pStyle w:val="ListParagraph"/>
        <w:numPr>
          <w:ilvl w:val="0"/>
          <w:numId w:val="3"/>
        </w:numPr>
        <w:tabs>
          <w:tab w:val="left" w:pos="426"/>
        </w:tabs>
        <w:ind w:left="0" w:firstLine="360"/>
        <w:jc w:val="both"/>
        <w:rPr>
          <w:lang w:val="ro-MD"/>
        </w:rPr>
      </w:pPr>
      <w:r w:rsidRPr="00255BC5">
        <w:rPr>
          <w:rFonts w:eastAsia="Calibri"/>
          <w:lang w:val="ro-MD"/>
        </w:rPr>
        <w:t xml:space="preserve">Prima publicare a </w:t>
      </w:r>
      <w:r w:rsidR="00950BB7" w:rsidRPr="00255BC5">
        <w:rPr>
          <w:rFonts w:eastAsia="Calibri"/>
          <w:lang w:val="ro-MD"/>
        </w:rPr>
        <w:t xml:space="preserve">indicelui de referință pentru contractele de credit </w:t>
      </w:r>
      <w:r w:rsidR="00294812">
        <w:rPr>
          <w:rFonts w:eastAsia="Calibri"/>
          <w:lang w:val="ro-MD"/>
        </w:rPr>
        <w:t xml:space="preserve">cu dobândă flotantă </w:t>
      </w:r>
      <w:r w:rsidR="00950BB7" w:rsidRPr="00255BC5">
        <w:rPr>
          <w:rFonts w:eastAsia="Calibri"/>
          <w:lang w:val="ro-MD"/>
        </w:rPr>
        <w:t>pentru consumatori</w:t>
      </w:r>
      <w:r w:rsidR="001C03B3">
        <w:rPr>
          <w:rFonts w:eastAsia="Calibri"/>
          <w:lang w:val="ro-MD"/>
        </w:rPr>
        <w:t>,</w:t>
      </w:r>
      <w:r w:rsidR="00950BB7" w:rsidRPr="00255BC5">
        <w:rPr>
          <w:snapToGrid w:val="0"/>
          <w:lang w:val="ro-RO"/>
        </w:rPr>
        <w:t xml:space="preserve"> în moneda națională</w:t>
      </w:r>
      <w:r w:rsidR="001C03B3">
        <w:rPr>
          <w:snapToGrid w:val="0"/>
          <w:lang w:val="ro-RO"/>
        </w:rPr>
        <w:t>,</w:t>
      </w:r>
      <w:r w:rsidR="00950BB7" w:rsidRPr="00255BC5">
        <w:rPr>
          <w:rFonts w:eastAsia="Calibri"/>
          <w:lang w:val="ro-MD"/>
        </w:rPr>
        <w:t xml:space="preserve"> </w:t>
      </w:r>
      <w:r w:rsidRPr="00255BC5">
        <w:rPr>
          <w:lang w:val="ro-MD"/>
        </w:rPr>
        <w:t xml:space="preserve">se va efectua </w:t>
      </w:r>
      <w:r w:rsidR="00950BB7" w:rsidRPr="00255BC5">
        <w:rPr>
          <w:lang w:val="ro-MD"/>
        </w:rPr>
        <w:t>la data de 20 a lunii calendaristice următoare lunii intrării în vigoare a prezentei hotărâri</w:t>
      </w:r>
      <w:r w:rsidRPr="00255BC5">
        <w:rPr>
          <w:lang w:val="ro-MD"/>
        </w:rPr>
        <w:t>.</w:t>
      </w:r>
    </w:p>
    <w:p w14:paraId="6BEACCC1" w14:textId="77777777" w:rsidR="00EB5C3A" w:rsidRDefault="00EB5C3A" w:rsidP="00EB5C3A">
      <w:pPr>
        <w:tabs>
          <w:tab w:val="left" w:pos="709"/>
          <w:tab w:val="left" w:pos="4536"/>
          <w:tab w:val="center" w:pos="4749"/>
          <w:tab w:val="right" w:pos="9498"/>
        </w:tabs>
        <w:jc w:val="center"/>
        <w:rPr>
          <w:lang w:val="ro-MD"/>
        </w:rPr>
      </w:pPr>
    </w:p>
    <w:p w14:paraId="69498590" w14:textId="77C83A66" w:rsidR="009A16FF" w:rsidRPr="00A10A29" w:rsidRDefault="009A16FF" w:rsidP="00EB5C3A">
      <w:pPr>
        <w:tabs>
          <w:tab w:val="left" w:pos="709"/>
          <w:tab w:val="left" w:pos="4536"/>
          <w:tab w:val="center" w:pos="4749"/>
          <w:tab w:val="right" w:pos="9498"/>
        </w:tabs>
        <w:jc w:val="center"/>
        <w:rPr>
          <w:rFonts w:eastAsia="Calibri"/>
          <w:b/>
          <w:lang w:val="ro-MD"/>
        </w:rPr>
      </w:pPr>
    </w:p>
    <w:p w14:paraId="4495CB24" w14:textId="77777777" w:rsidR="009A16FF" w:rsidRPr="00A10A29" w:rsidRDefault="009A16FF" w:rsidP="00EB5C3A">
      <w:pPr>
        <w:tabs>
          <w:tab w:val="left" w:pos="709"/>
          <w:tab w:val="left" w:pos="4536"/>
          <w:tab w:val="center" w:pos="4749"/>
          <w:tab w:val="right" w:pos="9498"/>
        </w:tabs>
        <w:jc w:val="center"/>
        <w:rPr>
          <w:rFonts w:eastAsia="Calibri"/>
          <w:b/>
          <w:lang w:val="ro-MD"/>
        </w:rPr>
      </w:pPr>
    </w:p>
    <w:p w14:paraId="419EF826" w14:textId="77777777" w:rsidR="009A16FF" w:rsidRPr="00A10A29" w:rsidRDefault="009A16FF" w:rsidP="00EB5C3A">
      <w:pPr>
        <w:tabs>
          <w:tab w:val="left" w:pos="709"/>
          <w:tab w:val="left" w:pos="4536"/>
          <w:tab w:val="center" w:pos="4749"/>
          <w:tab w:val="right" w:pos="9498"/>
        </w:tabs>
        <w:jc w:val="center"/>
        <w:rPr>
          <w:rFonts w:eastAsia="Calibri"/>
          <w:b/>
          <w:lang w:val="ro-MD"/>
        </w:rPr>
      </w:pPr>
    </w:p>
    <w:p w14:paraId="0AA29C01" w14:textId="77777777" w:rsidR="009A16FF" w:rsidRPr="00A10A29" w:rsidRDefault="009A16FF" w:rsidP="00EB5C3A">
      <w:pPr>
        <w:tabs>
          <w:tab w:val="left" w:pos="709"/>
          <w:tab w:val="left" w:pos="4536"/>
          <w:tab w:val="center" w:pos="4749"/>
          <w:tab w:val="right" w:pos="9498"/>
        </w:tabs>
        <w:jc w:val="center"/>
        <w:rPr>
          <w:rFonts w:eastAsia="Calibri"/>
          <w:b/>
          <w:lang w:val="ro-MD"/>
        </w:rPr>
      </w:pPr>
    </w:p>
    <w:p w14:paraId="1B478FCF" w14:textId="77777777" w:rsidR="009A16FF" w:rsidRPr="00A10A29" w:rsidRDefault="009A16FF" w:rsidP="00EB5C3A">
      <w:pPr>
        <w:tabs>
          <w:tab w:val="left" w:pos="709"/>
          <w:tab w:val="left" w:pos="4536"/>
          <w:tab w:val="center" w:pos="4749"/>
          <w:tab w:val="right" w:pos="9498"/>
        </w:tabs>
        <w:jc w:val="center"/>
        <w:rPr>
          <w:rFonts w:eastAsia="Calibri"/>
          <w:b/>
          <w:lang w:val="ro-MD"/>
        </w:rPr>
      </w:pPr>
    </w:p>
    <w:p w14:paraId="2364A994" w14:textId="77777777" w:rsidR="009A16FF" w:rsidRPr="00A10A29" w:rsidRDefault="009A16FF" w:rsidP="00EB5C3A">
      <w:pPr>
        <w:tabs>
          <w:tab w:val="left" w:pos="709"/>
          <w:tab w:val="left" w:pos="4536"/>
          <w:tab w:val="center" w:pos="4749"/>
          <w:tab w:val="right" w:pos="9498"/>
        </w:tabs>
        <w:jc w:val="center"/>
        <w:rPr>
          <w:rFonts w:eastAsia="Calibri"/>
          <w:b/>
          <w:lang w:val="ro-MD"/>
        </w:rPr>
      </w:pPr>
    </w:p>
    <w:p w14:paraId="67CA6123" w14:textId="77777777" w:rsidR="009A16FF" w:rsidRPr="00A10A29" w:rsidRDefault="009A16FF" w:rsidP="00EB5C3A">
      <w:pPr>
        <w:tabs>
          <w:tab w:val="left" w:pos="709"/>
          <w:tab w:val="left" w:pos="4536"/>
          <w:tab w:val="center" w:pos="4749"/>
          <w:tab w:val="right" w:pos="9498"/>
        </w:tabs>
        <w:jc w:val="center"/>
        <w:rPr>
          <w:rFonts w:eastAsia="Calibri"/>
          <w:b/>
          <w:lang w:val="ro-MD"/>
        </w:rPr>
      </w:pPr>
    </w:p>
    <w:p w14:paraId="59FD7BC4" w14:textId="77777777" w:rsidR="009A16FF" w:rsidRPr="00A10A29" w:rsidRDefault="009A16FF" w:rsidP="00EB5C3A">
      <w:pPr>
        <w:tabs>
          <w:tab w:val="left" w:pos="709"/>
          <w:tab w:val="left" w:pos="4536"/>
          <w:tab w:val="center" w:pos="4749"/>
          <w:tab w:val="right" w:pos="9498"/>
        </w:tabs>
        <w:jc w:val="center"/>
        <w:rPr>
          <w:rFonts w:eastAsia="Calibri"/>
          <w:b/>
          <w:lang w:val="ro-MD"/>
        </w:rPr>
      </w:pPr>
    </w:p>
    <w:p w14:paraId="6C81F84D" w14:textId="7850848C" w:rsidR="009A16FF" w:rsidRPr="00A10A29" w:rsidRDefault="009A16FF" w:rsidP="009A16FF">
      <w:pPr>
        <w:tabs>
          <w:tab w:val="left" w:pos="709"/>
          <w:tab w:val="left" w:pos="4536"/>
          <w:tab w:val="center" w:pos="4749"/>
          <w:tab w:val="right" w:pos="9498"/>
        </w:tabs>
        <w:rPr>
          <w:rFonts w:eastAsia="Calibri"/>
          <w:b/>
          <w:lang w:val="ro-MD"/>
        </w:rPr>
      </w:pPr>
      <w:r w:rsidRPr="00A10A29">
        <w:rPr>
          <w:rFonts w:eastAsia="Calibri"/>
          <w:b/>
          <w:lang w:val="ro-MD"/>
        </w:rPr>
        <w:t>PREŞEDINTELE  COMITETULUI EXECUTIV                               Anca-Dana DRAGU</w:t>
      </w:r>
    </w:p>
    <w:p w14:paraId="41089EDC" w14:textId="490D493F" w:rsidR="009A16FF" w:rsidRPr="00A10A29" w:rsidRDefault="009A16FF" w:rsidP="00EB5C3A">
      <w:pPr>
        <w:jc w:val="center"/>
        <w:rPr>
          <w:lang w:val="ro-MD"/>
        </w:rPr>
      </w:pPr>
    </w:p>
    <w:p w14:paraId="02C337B1" w14:textId="77777777" w:rsidR="009A16FF" w:rsidRDefault="009A16FF" w:rsidP="00EB5C3A">
      <w:pPr>
        <w:jc w:val="center"/>
        <w:rPr>
          <w:lang w:val="ro-MD"/>
        </w:rPr>
      </w:pPr>
    </w:p>
    <w:p w14:paraId="333D9D94" w14:textId="77777777" w:rsidR="00EB5C3A" w:rsidRDefault="00EB5C3A" w:rsidP="00EB5C3A">
      <w:pPr>
        <w:jc w:val="center"/>
        <w:rPr>
          <w:lang w:val="ro-MD"/>
        </w:rPr>
      </w:pPr>
    </w:p>
    <w:p w14:paraId="048A237C" w14:textId="77777777" w:rsidR="00EB5C3A" w:rsidRDefault="00EB5C3A" w:rsidP="00EB5C3A">
      <w:pPr>
        <w:jc w:val="center"/>
        <w:rPr>
          <w:lang w:val="ro-MD"/>
        </w:rPr>
      </w:pPr>
    </w:p>
    <w:p w14:paraId="44BC7ADE" w14:textId="77777777" w:rsidR="00EB5C3A" w:rsidRDefault="00EB5C3A" w:rsidP="00EB5C3A">
      <w:pPr>
        <w:jc w:val="center"/>
        <w:rPr>
          <w:lang w:val="ro-MD"/>
        </w:rPr>
      </w:pPr>
    </w:p>
    <w:p w14:paraId="7722FFED" w14:textId="77777777" w:rsidR="00EB5C3A" w:rsidRDefault="00EB5C3A" w:rsidP="00EB5C3A">
      <w:pPr>
        <w:jc w:val="center"/>
        <w:rPr>
          <w:lang w:val="ro-MD"/>
        </w:rPr>
      </w:pPr>
    </w:p>
    <w:p w14:paraId="4C6C8EAD" w14:textId="77777777" w:rsidR="00EB5C3A" w:rsidRPr="00A10A29" w:rsidRDefault="00EB5C3A" w:rsidP="00EB5C3A">
      <w:pPr>
        <w:jc w:val="center"/>
        <w:rPr>
          <w:lang w:val="ro-MD"/>
        </w:rPr>
      </w:pPr>
    </w:p>
    <w:p w14:paraId="34F88CFB" w14:textId="0397A9FA" w:rsidR="009A16FF" w:rsidRPr="00A10A29" w:rsidRDefault="009A16FF" w:rsidP="009A16FF">
      <w:pPr>
        <w:spacing w:after="160" w:line="259" w:lineRule="auto"/>
        <w:rPr>
          <w:lang w:val="ro-MD"/>
        </w:rPr>
      </w:pPr>
      <w:r w:rsidRPr="00A10A29">
        <w:rPr>
          <w:lang w:val="ro-MD"/>
        </w:rPr>
        <w:br w:type="page"/>
      </w:r>
    </w:p>
    <w:p w14:paraId="1C7CE218" w14:textId="77777777" w:rsidR="009A16FF" w:rsidRPr="00A10A29" w:rsidRDefault="009A16FF" w:rsidP="009A16FF">
      <w:pPr>
        <w:tabs>
          <w:tab w:val="left" w:pos="7725"/>
        </w:tabs>
        <w:jc w:val="right"/>
        <w:rPr>
          <w:lang w:val="ro-MD"/>
        </w:rPr>
      </w:pPr>
      <w:r w:rsidRPr="00A10A29">
        <w:rPr>
          <w:lang w:val="ro-MD"/>
        </w:rPr>
        <w:lastRenderedPageBreak/>
        <w:t>Aprobat</w:t>
      </w:r>
    </w:p>
    <w:p w14:paraId="7DFA7135" w14:textId="77777777" w:rsidR="009A16FF" w:rsidRPr="00A10A29" w:rsidRDefault="009A16FF" w:rsidP="009A16FF">
      <w:pPr>
        <w:tabs>
          <w:tab w:val="left" w:pos="7725"/>
        </w:tabs>
        <w:jc w:val="right"/>
        <w:rPr>
          <w:lang w:val="ro-MD"/>
        </w:rPr>
      </w:pPr>
      <w:r w:rsidRPr="00A10A29">
        <w:rPr>
          <w:lang w:val="ro-MD"/>
        </w:rPr>
        <w:t>prin Hotărârea Comitetului executiv</w:t>
      </w:r>
    </w:p>
    <w:p w14:paraId="0BD5EAD4" w14:textId="77777777" w:rsidR="009A16FF" w:rsidRPr="00A10A29" w:rsidRDefault="009A16FF" w:rsidP="009A16FF">
      <w:pPr>
        <w:tabs>
          <w:tab w:val="left" w:pos="7725"/>
        </w:tabs>
        <w:jc w:val="right"/>
        <w:rPr>
          <w:lang w:val="ro-MD"/>
        </w:rPr>
      </w:pPr>
      <w:r w:rsidRPr="00A10A29">
        <w:rPr>
          <w:lang w:val="ro-MD"/>
        </w:rPr>
        <w:t>al Băncii Naționale a Moldovei</w:t>
      </w:r>
    </w:p>
    <w:p w14:paraId="7356FD62" w14:textId="0C5DBDF7" w:rsidR="007230BC" w:rsidRPr="009A16FF" w:rsidRDefault="009A16FF" w:rsidP="009A16FF">
      <w:pPr>
        <w:jc w:val="right"/>
        <w:rPr>
          <w:b/>
          <w:sz w:val="36"/>
          <w:szCs w:val="36"/>
          <w:lang w:val="it-IT"/>
        </w:rPr>
      </w:pPr>
      <w:r w:rsidRPr="00A10A29">
        <w:rPr>
          <w:bCs/>
          <w:lang w:val="ro-MD"/>
        </w:rPr>
        <w:t>nr.____</w:t>
      </w:r>
      <w:r w:rsidR="004432F5">
        <w:rPr>
          <w:bCs/>
          <w:lang w:val="ro-MD"/>
        </w:rPr>
        <w:t xml:space="preserve"> </w:t>
      </w:r>
      <w:r w:rsidRPr="00A10A29">
        <w:rPr>
          <w:bCs/>
          <w:lang w:val="ro-MD"/>
        </w:rPr>
        <w:t>din ____________2024</w:t>
      </w:r>
    </w:p>
    <w:p w14:paraId="3076FCC9" w14:textId="77777777" w:rsidR="009A16FF" w:rsidRDefault="009A16FF" w:rsidP="007230BC">
      <w:pPr>
        <w:jc w:val="center"/>
        <w:rPr>
          <w:b/>
          <w:sz w:val="36"/>
          <w:szCs w:val="36"/>
          <w:lang w:val="ro-MD"/>
        </w:rPr>
      </w:pPr>
    </w:p>
    <w:p w14:paraId="1C2FDE3D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4DCC819B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2313838C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269CF59F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631D3FD4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28A40725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6337F42D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735E7C18" w14:textId="37B2D8E7" w:rsidR="007230BC" w:rsidRPr="007230BC" w:rsidRDefault="007230BC" w:rsidP="007230BC">
      <w:pPr>
        <w:jc w:val="center"/>
        <w:rPr>
          <w:b/>
          <w:sz w:val="36"/>
          <w:szCs w:val="36"/>
          <w:lang w:val="ro-MD"/>
        </w:rPr>
      </w:pPr>
      <w:r>
        <w:rPr>
          <w:b/>
          <w:sz w:val="36"/>
          <w:szCs w:val="36"/>
          <w:lang w:val="ro-MD"/>
        </w:rPr>
        <w:t>M</w:t>
      </w:r>
      <w:r w:rsidRPr="007230BC">
        <w:rPr>
          <w:b/>
          <w:sz w:val="36"/>
          <w:szCs w:val="36"/>
          <w:lang w:val="ro-MD"/>
        </w:rPr>
        <w:t>etodologia de calcul a</w:t>
      </w:r>
    </w:p>
    <w:p w14:paraId="0ACB91E5" w14:textId="326B16E7" w:rsidR="007230BC" w:rsidRPr="007230BC" w:rsidRDefault="007230BC" w:rsidP="007230BC">
      <w:pPr>
        <w:jc w:val="center"/>
        <w:rPr>
          <w:b/>
          <w:sz w:val="36"/>
          <w:szCs w:val="36"/>
          <w:lang w:val="ro-MD"/>
        </w:rPr>
      </w:pPr>
      <w:r>
        <w:rPr>
          <w:b/>
          <w:sz w:val="36"/>
          <w:szCs w:val="36"/>
          <w:lang w:val="ro-MD"/>
        </w:rPr>
        <w:t>i</w:t>
      </w:r>
      <w:r w:rsidRPr="007230BC">
        <w:rPr>
          <w:b/>
          <w:sz w:val="36"/>
          <w:szCs w:val="36"/>
          <w:lang w:val="ro-MD"/>
        </w:rPr>
        <w:t>ndicelui de referință</w:t>
      </w:r>
    </w:p>
    <w:p w14:paraId="0E2C54AB" w14:textId="4FECFBA5" w:rsidR="00D86C70" w:rsidRDefault="007230BC" w:rsidP="007230BC">
      <w:pPr>
        <w:jc w:val="center"/>
        <w:rPr>
          <w:b/>
          <w:sz w:val="36"/>
          <w:szCs w:val="36"/>
          <w:lang w:val="ro-MD"/>
        </w:rPr>
      </w:pPr>
      <w:r w:rsidRPr="007230BC">
        <w:rPr>
          <w:b/>
          <w:sz w:val="36"/>
          <w:szCs w:val="36"/>
          <w:lang w:val="ro-MD"/>
        </w:rPr>
        <w:t xml:space="preserve">pentru contractele de credit </w:t>
      </w:r>
      <w:r w:rsidR="003F3A1E">
        <w:rPr>
          <w:b/>
          <w:sz w:val="36"/>
          <w:szCs w:val="36"/>
          <w:lang w:val="ro-MD"/>
        </w:rPr>
        <w:t>cu dobândă flotantă</w:t>
      </w:r>
      <w:r w:rsidR="001C03B3">
        <w:rPr>
          <w:b/>
          <w:sz w:val="36"/>
          <w:szCs w:val="36"/>
          <w:lang w:val="ro-MD"/>
        </w:rPr>
        <w:t xml:space="preserve"> pentru consumatori</w:t>
      </w:r>
    </w:p>
    <w:p w14:paraId="1EBA6DBF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2034AE43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45DA7FF2" w14:textId="77777777" w:rsidR="004432F5" w:rsidRDefault="004432F5" w:rsidP="007230BC">
      <w:pPr>
        <w:jc w:val="center"/>
        <w:rPr>
          <w:b/>
          <w:sz w:val="36"/>
          <w:szCs w:val="36"/>
          <w:lang w:val="ro-MD"/>
        </w:rPr>
      </w:pPr>
    </w:p>
    <w:p w14:paraId="56B35808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27BFC5F7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269259EA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4FC3E07C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0093C40D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61F7BCE4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0DDC025F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40066815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68DA09C7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5770F7A7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7035049E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20B939B7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668DD967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52705A78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5ABD08D3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5A4AC95B" w14:textId="77777777" w:rsidR="007230BC" w:rsidRDefault="007230BC" w:rsidP="007230BC">
      <w:pPr>
        <w:jc w:val="center"/>
        <w:rPr>
          <w:b/>
          <w:sz w:val="36"/>
          <w:szCs w:val="36"/>
          <w:lang w:val="ro-MD"/>
        </w:rPr>
      </w:pPr>
    </w:p>
    <w:p w14:paraId="14FF25CB" w14:textId="77777777" w:rsidR="009A16FF" w:rsidRDefault="009A16FF" w:rsidP="007230BC">
      <w:pPr>
        <w:jc w:val="center"/>
        <w:rPr>
          <w:b/>
          <w:sz w:val="28"/>
          <w:szCs w:val="28"/>
          <w:lang w:val="ro-MD"/>
        </w:rPr>
      </w:pPr>
    </w:p>
    <w:p w14:paraId="2A8004D5" w14:textId="47CF8DA6" w:rsidR="007230BC" w:rsidRDefault="00614CA4" w:rsidP="007230B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it-IT"/>
        </w:rPr>
        <w:lastRenderedPageBreak/>
        <w:t xml:space="preserve">Capitolul </w:t>
      </w:r>
      <w:r w:rsidR="007230BC">
        <w:rPr>
          <w:b/>
          <w:sz w:val="28"/>
          <w:szCs w:val="28"/>
          <w:lang w:val="it-IT"/>
        </w:rPr>
        <w:t>I</w:t>
      </w:r>
      <w:r w:rsidR="007230BC" w:rsidRPr="002E3A77">
        <w:rPr>
          <w:b/>
          <w:sz w:val="28"/>
          <w:szCs w:val="28"/>
          <w:lang w:val="it-IT"/>
        </w:rPr>
        <w:t xml:space="preserve">. </w:t>
      </w:r>
      <w:r w:rsidR="00D942BE">
        <w:rPr>
          <w:b/>
          <w:sz w:val="28"/>
          <w:szCs w:val="28"/>
          <w:lang w:val="it-IT"/>
        </w:rPr>
        <w:t>Dispoziții generale</w:t>
      </w:r>
    </w:p>
    <w:p w14:paraId="7B37AD24" w14:textId="67A2F0C3" w:rsidR="00417A1B" w:rsidRPr="00950BB7" w:rsidRDefault="00417A1B" w:rsidP="004432F5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360"/>
        <w:jc w:val="both"/>
        <w:rPr>
          <w:lang w:val="ro-RO"/>
        </w:rPr>
      </w:pPr>
      <w:r w:rsidRPr="00417A1B">
        <w:rPr>
          <w:lang w:val="ro-RO"/>
        </w:rPr>
        <w:t>Metodologia de calcul a indicelui de referință pentru contractele de credit</w:t>
      </w:r>
      <w:r w:rsidR="00297D75">
        <w:rPr>
          <w:lang w:val="ro-RO"/>
        </w:rPr>
        <w:t xml:space="preserve"> </w:t>
      </w:r>
      <w:r w:rsidR="003F3A1E">
        <w:rPr>
          <w:lang w:val="ro-RO"/>
        </w:rPr>
        <w:t>cu dobândă flotantă</w:t>
      </w:r>
      <w:r w:rsidR="003F3A1E" w:rsidRPr="00417A1B">
        <w:rPr>
          <w:lang w:val="ro-RO"/>
        </w:rPr>
        <w:t xml:space="preserve"> </w:t>
      </w:r>
      <w:r w:rsidR="00081E18">
        <w:rPr>
          <w:lang w:val="ro-RO"/>
        </w:rPr>
        <w:t xml:space="preserve">pentru consumatori </w:t>
      </w:r>
      <w:r w:rsidRPr="00417A1B">
        <w:rPr>
          <w:lang w:val="ro-RO"/>
        </w:rPr>
        <w:t xml:space="preserve">(în continuare – </w:t>
      </w:r>
      <w:r w:rsidRPr="00417A1B">
        <w:rPr>
          <w:i/>
          <w:iCs/>
          <w:lang w:val="ro-RO"/>
        </w:rPr>
        <w:t>Metodologie</w:t>
      </w:r>
      <w:r w:rsidRPr="00417A1B">
        <w:rPr>
          <w:lang w:val="ro-RO"/>
        </w:rPr>
        <w:t xml:space="preserve">) este elaborată în </w:t>
      </w:r>
      <w:r w:rsidR="003139DD">
        <w:rPr>
          <w:lang w:val="ro-RO"/>
        </w:rPr>
        <w:t>temeiul</w:t>
      </w:r>
      <w:r w:rsidRPr="00950BB7">
        <w:rPr>
          <w:lang w:val="ro-RO"/>
        </w:rPr>
        <w:t xml:space="preserve"> </w:t>
      </w:r>
      <w:r w:rsidR="00092ACF" w:rsidRPr="00950BB7">
        <w:rPr>
          <w:snapToGrid w:val="0"/>
          <w:lang w:val="ro-RO"/>
        </w:rPr>
        <w:t>art.1</w:t>
      </w:r>
      <w:r w:rsidR="002B5614" w:rsidRPr="00950BB7">
        <w:rPr>
          <w:snapToGrid w:val="0"/>
          <w:lang w:val="ro-RO"/>
        </w:rPr>
        <w:t>3</w:t>
      </w:r>
      <w:r w:rsidR="00092ACF" w:rsidRPr="00950BB7">
        <w:rPr>
          <w:snapToGrid w:val="0"/>
          <w:lang w:val="ro-RO"/>
        </w:rPr>
        <w:t xml:space="preserve"> lit.</w:t>
      </w:r>
      <w:r w:rsidR="003F3A1E">
        <w:rPr>
          <w:snapToGrid w:val="0"/>
          <w:lang w:val="ro-RO"/>
        </w:rPr>
        <w:t> </w:t>
      </w:r>
      <w:r w:rsidR="002B5614" w:rsidRPr="00950BB7">
        <w:rPr>
          <w:snapToGrid w:val="0"/>
          <w:lang w:val="ro-RO"/>
        </w:rPr>
        <w:t>a</w:t>
      </w:r>
      <w:r w:rsidR="00092ACF" w:rsidRPr="00950BB7">
        <w:rPr>
          <w:snapToGrid w:val="0"/>
          <w:lang w:val="ro-RO"/>
        </w:rPr>
        <w:t xml:space="preserve">) din </w:t>
      </w:r>
      <w:r w:rsidRPr="00950BB7">
        <w:rPr>
          <w:lang w:val="ro-RO"/>
        </w:rPr>
        <w:t>Leg</w:t>
      </w:r>
      <w:r w:rsidR="00092ACF" w:rsidRPr="00950BB7">
        <w:rPr>
          <w:lang w:val="ro-RO"/>
        </w:rPr>
        <w:t>ea</w:t>
      </w:r>
      <w:r w:rsidRPr="00950BB7">
        <w:rPr>
          <w:lang w:val="ro-RO"/>
        </w:rPr>
        <w:t xml:space="preserve"> nr. 202</w:t>
      </w:r>
      <w:r w:rsidR="00297D75">
        <w:rPr>
          <w:lang w:val="ro-RO"/>
        </w:rPr>
        <w:t>/2013</w:t>
      </w:r>
      <w:r w:rsidR="004432F5" w:rsidRPr="00950BB7">
        <w:rPr>
          <w:lang w:val="ro-RO"/>
        </w:rPr>
        <w:t xml:space="preserve"> </w:t>
      </w:r>
      <w:r w:rsidRPr="00950BB7">
        <w:rPr>
          <w:lang w:val="ro-RO"/>
        </w:rPr>
        <w:t xml:space="preserve">privind contractele de credit pentru consumatori (Monitorul Oficial </w:t>
      </w:r>
      <w:r w:rsidR="0075787B">
        <w:rPr>
          <w:lang w:val="ro-RO"/>
        </w:rPr>
        <w:t>n</w:t>
      </w:r>
      <w:r w:rsidRPr="00950BB7">
        <w:rPr>
          <w:lang w:val="ro-RO"/>
        </w:rPr>
        <w:t>r. 191-197 art. 619</w:t>
      </w:r>
      <w:r w:rsidR="00092ACF" w:rsidRPr="00950BB7">
        <w:rPr>
          <w:lang w:val="ro-RO"/>
        </w:rPr>
        <w:t>).</w:t>
      </w:r>
    </w:p>
    <w:p w14:paraId="068E152E" w14:textId="2FE9254D" w:rsidR="007230BC" w:rsidRPr="00EE1253" w:rsidRDefault="007230BC" w:rsidP="007230BC">
      <w:pPr>
        <w:numPr>
          <w:ilvl w:val="0"/>
          <w:numId w:val="1"/>
        </w:numPr>
        <w:tabs>
          <w:tab w:val="clear" w:pos="720"/>
          <w:tab w:val="num" w:pos="0"/>
        </w:tabs>
        <w:spacing w:before="120" w:after="120"/>
        <w:ind w:left="0" w:firstLine="360"/>
        <w:jc w:val="both"/>
        <w:rPr>
          <w:lang w:val="ro-RO"/>
        </w:rPr>
      </w:pPr>
      <w:r w:rsidRPr="007230BC">
        <w:rPr>
          <w:lang w:val="ro-RO"/>
        </w:rPr>
        <w:t xml:space="preserve">Scopul </w:t>
      </w:r>
      <w:r>
        <w:rPr>
          <w:lang w:val="ro-RO"/>
        </w:rPr>
        <w:t xml:space="preserve">prezentei </w:t>
      </w:r>
      <w:r w:rsidRPr="007230BC">
        <w:rPr>
          <w:lang w:val="ro-RO"/>
        </w:rPr>
        <w:t>Metodologi</w:t>
      </w:r>
      <w:r>
        <w:rPr>
          <w:lang w:val="ro-RO"/>
        </w:rPr>
        <w:t>i</w:t>
      </w:r>
      <w:r w:rsidRPr="007230BC">
        <w:rPr>
          <w:lang w:val="ro-RO"/>
        </w:rPr>
        <w:t xml:space="preserve"> </w:t>
      </w:r>
      <w:r w:rsidRPr="00EE1253">
        <w:rPr>
          <w:lang w:val="ro-RO"/>
        </w:rPr>
        <w:t xml:space="preserve">este stabilirea </w:t>
      </w:r>
      <w:r>
        <w:rPr>
          <w:lang w:val="ro-RO"/>
        </w:rPr>
        <w:t xml:space="preserve">modului de calcul a </w:t>
      </w:r>
      <w:r w:rsidRPr="00EE1253">
        <w:rPr>
          <w:lang w:val="ro-RO"/>
        </w:rPr>
        <w:t xml:space="preserve">indicelui de referință </w:t>
      </w:r>
      <w:r w:rsidRPr="001D4C32">
        <w:rPr>
          <w:lang w:val="ro-RO"/>
        </w:rPr>
        <w:t>pentru</w:t>
      </w:r>
      <w:r w:rsidRPr="00EE1253">
        <w:rPr>
          <w:lang w:val="ro-RO"/>
        </w:rPr>
        <w:t xml:space="preserve"> contractele de credit </w:t>
      </w:r>
      <w:r w:rsidR="003F3A1E">
        <w:rPr>
          <w:lang w:val="ro-RO"/>
        </w:rPr>
        <w:t xml:space="preserve">cu dobândă flotantă </w:t>
      </w:r>
      <w:r w:rsidR="00081E18" w:rsidRPr="001D4C32">
        <w:rPr>
          <w:lang w:val="ro-MD"/>
        </w:rPr>
        <w:t>pentru</w:t>
      </w:r>
      <w:r w:rsidR="00081E18" w:rsidRPr="00081E18">
        <w:rPr>
          <w:lang w:val="ro-MD"/>
        </w:rPr>
        <w:t xml:space="preserve"> consumatori</w:t>
      </w:r>
      <w:r w:rsidR="00081E18" w:rsidRPr="00081E18">
        <w:rPr>
          <w:lang w:val="ro-RO"/>
        </w:rPr>
        <w:t xml:space="preserve"> </w:t>
      </w:r>
      <w:r w:rsidR="00081E18">
        <w:rPr>
          <w:lang w:val="ro-RO"/>
        </w:rPr>
        <w:t xml:space="preserve">în vederea </w:t>
      </w:r>
      <w:r>
        <w:rPr>
          <w:lang w:val="ro-RO"/>
        </w:rPr>
        <w:t>asigur</w:t>
      </w:r>
      <w:r w:rsidR="00AA5079">
        <w:rPr>
          <w:lang w:val="ro-RO"/>
        </w:rPr>
        <w:t>ării</w:t>
      </w:r>
      <w:r>
        <w:rPr>
          <w:lang w:val="ro-RO"/>
        </w:rPr>
        <w:t xml:space="preserve"> transparenței condițiilor de creditare </w:t>
      </w:r>
      <w:r>
        <w:rPr>
          <w:snapToGrid w:val="0"/>
          <w:lang w:val="ro-RO"/>
        </w:rPr>
        <w:t>pentru consumători</w:t>
      </w:r>
      <w:r w:rsidRPr="00EE1253">
        <w:rPr>
          <w:lang w:val="ro-RO"/>
        </w:rPr>
        <w:t xml:space="preserve">. </w:t>
      </w:r>
    </w:p>
    <w:p w14:paraId="4CFC1929" w14:textId="48158A96" w:rsidR="00A76B18" w:rsidRDefault="00D942BE" w:rsidP="00962B1C">
      <w:pPr>
        <w:pStyle w:val="ListParagraph"/>
        <w:numPr>
          <w:ilvl w:val="0"/>
          <w:numId w:val="1"/>
        </w:numPr>
        <w:tabs>
          <w:tab w:val="clear" w:pos="720"/>
        </w:tabs>
        <w:spacing w:before="120"/>
        <w:ind w:left="0" w:firstLine="360"/>
        <w:jc w:val="both"/>
        <w:rPr>
          <w:lang w:val="ro-RO"/>
        </w:rPr>
      </w:pPr>
      <w:r w:rsidRPr="00D942BE">
        <w:rPr>
          <w:lang w:val="ro-RO"/>
        </w:rPr>
        <w:t>Termenii și expresiile utilizate în prezenta Metodologie au semnificațiile prevăzute în Legea nr. 202/2013 privind contractele de credit pentru consumatori. De asemenea, în sensul prezentei Metodologii se utilizează următorii termeni</w:t>
      </w:r>
      <w:r w:rsidR="007230BC" w:rsidRPr="007230BC">
        <w:rPr>
          <w:lang w:val="ro-RO"/>
        </w:rPr>
        <w:t>:</w:t>
      </w:r>
    </w:p>
    <w:p w14:paraId="7A007B6E" w14:textId="5D23A3A7" w:rsidR="007230BC" w:rsidRPr="006B5733" w:rsidRDefault="007230BC" w:rsidP="00962B1C">
      <w:pPr>
        <w:spacing w:before="120" w:after="120"/>
        <w:ind w:firstLine="284"/>
        <w:jc w:val="both"/>
        <w:rPr>
          <w:lang w:val="ro-RO"/>
        </w:rPr>
      </w:pPr>
      <w:bookmarkStart w:id="1" w:name="_Hlk171513649"/>
      <w:r w:rsidRPr="006B5733">
        <w:rPr>
          <w:b/>
          <w:i/>
          <w:lang w:val="ro-RO"/>
        </w:rPr>
        <w:t>Indicele de referință</w:t>
      </w:r>
      <w:r w:rsidRPr="006B5733">
        <w:rPr>
          <w:lang w:val="ro-RO"/>
        </w:rPr>
        <w:t xml:space="preserve"> </w:t>
      </w:r>
      <w:bookmarkEnd w:id="1"/>
      <w:r w:rsidRPr="006B5733">
        <w:rPr>
          <w:lang w:val="ro-RO"/>
        </w:rPr>
        <w:t xml:space="preserve">– indicator numeric </w:t>
      </w:r>
      <w:r w:rsidR="0059635D">
        <w:rPr>
          <w:lang w:val="ro-RO"/>
        </w:rPr>
        <w:t>calculat și publicat</w:t>
      </w:r>
      <w:r w:rsidRPr="006B5733">
        <w:rPr>
          <w:lang w:val="ro-RO"/>
        </w:rPr>
        <w:t xml:space="preserve"> de Banca Națională a Moldovei </w:t>
      </w:r>
      <w:r w:rsidR="00220A81">
        <w:rPr>
          <w:lang w:val="ro-RO"/>
        </w:rPr>
        <w:t xml:space="preserve">(în continuare – BNM) </w:t>
      </w:r>
      <w:r w:rsidRPr="006B5733">
        <w:rPr>
          <w:lang w:val="ro-RO"/>
        </w:rPr>
        <w:t>care servește drept baz</w:t>
      </w:r>
      <w:r w:rsidR="0000322D">
        <w:rPr>
          <w:lang w:val="ro-RO"/>
        </w:rPr>
        <w:t>ă</w:t>
      </w:r>
      <w:r w:rsidRPr="006B5733">
        <w:rPr>
          <w:lang w:val="ro-RO"/>
        </w:rPr>
        <w:t xml:space="preserve"> pe</w:t>
      </w:r>
      <w:r>
        <w:rPr>
          <w:lang w:val="ro-RO"/>
        </w:rPr>
        <w:t>n</w:t>
      </w:r>
      <w:r w:rsidRPr="006B5733">
        <w:rPr>
          <w:lang w:val="ro-RO"/>
        </w:rPr>
        <w:t xml:space="preserve">tru calculul ratei dobânzii la contractele de credit </w:t>
      </w:r>
      <w:r w:rsidR="003F3A1E" w:rsidRPr="006B5733">
        <w:rPr>
          <w:lang w:val="ro-RO"/>
        </w:rPr>
        <w:t>cu dobândă flotantă</w:t>
      </w:r>
      <w:r w:rsidR="00081E18">
        <w:rPr>
          <w:lang w:val="ro-RO"/>
        </w:rPr>
        <w:t xml:space="preserve"> pentru consumatori</w:t>
      </w:r>
      <w:r w:rsidRPr="006B5733">
        <w:rPr>
          <w:lang w:val="ro-RO"/>
        </w:rPr>
        <w:t>.</w:t>
      </w:r>
    </w:p>
    <w:p w14:paraId="0381A724" w14:textId="4FDE9A31" w:rsidR="000609D5" w:rsidRPr="000609D5" w:rsidRDefault="000609D5" w:rsidP="00962B1C">
      <w:pPr>
        <w:spacing w:before="120" w:after="120"/>
        <w:ind w:firstLine="284"/>
        <w:jc w:val="both"/>
        <w:rPr>
          <w:lang w:val="ro-RO"/>
        </w:rPr>
      </w:pPr>
      <w:r w:rsidRPr="00DD4A68">
        <w:rPr>
          <w:b/>
          <w:bCs/>
          <w:i/>
          <w:iCs/>
          <w:lang w:val="ro-RO"/>
        </w:rPr>
        <w:t>Rata flotantă a dobânzii aferent</w:t>
      </w:r>
      <w:r w:rsidR="00842D6E">
        <w:rPr>
          <w:b/>
          <w:bCs/>
          <w:i/>
          <w:iCs/>
          <w:lang w:val="ro-RO"/>
        </w:rPr>
        <w:t>ă</w:t>
      </w:r>
      <w:r w:rsidRPr="00DD4A68">
        <w:rPr>
          <w:b/>
          <w:bCs/>
          <w:i/>
          <w:iCs/>
          <w:lang w:val="ro-RO"/>
        </w:rPr>
        <w:t xml:space="preserve"> creditului</w:t>
      </w:r>
      <w:r w:rsidRPr="00DD4A68">
        <w:rPr>
          <w:lang w:val="ro-RO"/>
        </w:rPr>
        <w:t xml:space="preserve"> – rată a dobânzii exprimată ca procent anual aplicat soldului creditului, compusă dintr-un indice de referință, stabilit conform prezentei </w:t>
      </w:r>
      <w:r w:rsidR="00081E18">
        <w:rPr>
          <w:lang w:val="ro-RO"/>
        </w:rPr>
        <w:t>M</w:t>
      </w:r>
      <w:r w:rsidRPr="00DD4A68">
        <w:rPr>
          <w:lang w:val="ro-RO"/>
        </w:rPr>
        <w:t>etodologii, la care creditorul poate adăuga o anumită marjă fixă pe toată durata derulării contractului.</w:t>
      </w:r>
    </w:p>
    <w:p w14:paraId="027503CF" w14:textId="77777777" w:rsidR="007230BC" w:rsidRDefault="007230BC" w:rsidP="007230BC">
      <w:pPr>
        <w:spacing w:before="120" w:after="120"/>
        <w:ind w:firstLine="540"/>
        <w:jc w:val="both"/>
        <w:rPr>
          <w:lang w:val="ro-RO"/>
        </w:rPr>
      </w:pPr>
    </w:p>
    <w:p w14:paraId="37606BB2" w14:textId="33120727" w:rsidR="007230BC" w:rsidRPr="002E108B" w:rsidRDefault="004673FE" w:rsidP="007230BC">
      <w:pPr>
        <w:jc w:val="center"/>
        <w:rPr>
          <w:b/>
          <w:sz w:val="28"/>
          <w:szCs w:val="28"/>
          <w:lang w:val="it-IT"/>
        </w:rPr>
      </w:pPr>
      <w:r w:rsidRPr="002E108B">
        <w:rPr>
          <w:b/>
          <w:sz w:val="28"/>
          <w:szCs w:val="28"/>
          <w:lang w:val="ro-RO"/>
        </w:rPr>
        <w:t xml:space="preserve">Capitolul </w:t>
      </w:r>
      <w:r w:rsidR="007230BC">
        <w:rPr>
          <w:b/>
          <w:sz w:val="28"/>
          <w:szCs w:val="28"/>
          <w:lang w:val="ro-RO"/>
        </w:rPr>
        <w:t xml:space="preserve">II. Modul de stabilire a indicelui </w:t>
      </w:r>
      <w:r w:rsidR="007230BC" w:rsidRPr="002915FB">
        <w:rPr>
          <w:b/>
          <w:sz w:val="28"/>
          <w:szCs w:val="28"/>
          <w:lang w:val="ro-RO"/>
        </w:rPr>
        <w:t>de referință</w:t>
      </w:r>
      <w:r w:rsidR="007230BC" w:rsidRPr="002915FB">
        <w:rPr>
          <w:sz w:val="28"/>
          <w:szCs w:val="28"/>
          <w:lang w:val="ro-RO"/>
        </w:rPr>
        <w:t xml:space="preserve"> </w:t>
      </w:r>
    </w:p>
    <w:p w14:paraId="07971900" w14:textId="43DEAC97" w:rsidR="00220A81" w:rsidRDefault="00220A81" w:rsidP="00002E51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360"/>
        <w:jc w:val="both"/>
        <w:rPr>
          <w:lang w:val="ro-RO"/>
        </w:rPr>
      </w:pPr>
      <w:r w:rsidRPr="00220A81">
        <w:rPr>
          <w:lang w:val="ro-RO"/>
        </w:rPr>
        <w:t>Indicele de referință</w:t>
      </w:r>
      <w:r>
        <w:rPr>
          <w:lang w:val="ro-RO"/>
        </w:rPr>
        <w:t xml:space="preserve"> </w:t>
      </w:r>
      <w:r w:rsidR="00BA1112">
        <w:rPr>
          <w:snapToGrid w:val="0"/>
          <w:lang w:val="ro-RO"/>
        </w:rPr>
        <w:t>în moneda națională</w:t>
      </w:r>
      <w:r w:rsidR="003139DD">
        <w:rPr>
          <w:snapToGrid w:val="0"/>
          <w:lang w:val="ro-RO"/>
        </w:rPr>
        <w:t xml:space="preserve"> pentru contractele de credit cu dobândă flotantă</w:t>
      </w:r>
      <w:r w:rsidR="002F383E">
        <w:rPr>
          <w:snapToGrid w:val="0"/>
          <w:lang w:val="ro-RO"/>
        </w:rPr>
        <w:t>, indiferent de termenul pentru care se acordă creditul,</w:t>
      </w:r>
      <w:r w:rsidR="00BA1112">
        <w:rPr>
          <w:snapToGrid w:val="0"/>
          <w:lang w:val="ro-RO"/>
        </w:rPr>
        <w:t xml:space="preserve"> </w:t>
      </w:r>
      <w:r w:rsidRPr="00220A81">
        <w:rPr>
          <w:lang w:val="ro-RO"/>
        </w:rPr>
        <w:t>este calculat ca medi</w:t>
      </w:r>
      <w:r w:rsidR="00210BA4">
        <w:rPr>
          <w:lang w:val="ro-RO"/>
        </w:rPr>
        <w:t>a</w:t>
      </w:r>
      <w:r w:rsidRPr="00220A81">
        <w:rPr>
          <w:lang w:val="ro-RO"/>
        </w:rPr>
        <w:t xml:space="preserve"> ponderată a ratelor dobânzilor la depozit</w:t>
      </w:r>
      <w:r>
        <w:rPr>
          <w:lang w:val="ro-RO"/>
        </w:rPr>
        <w:t xml:space="preserve">ele </w:t>
      </w:r>
      <w:r w:rsidR="00081E18">
        <w:rPr>
          <w:lang w:val="ro-RO"/>
        </w:rPr>
        <w:t xml:space="preserve">la termen </w:t>
      </w:r>
      <w:r w:rsidR="005F7AEA">
        <w:rPr>
          <w:lang w:val="ro-RO"/>
        </w:rPr>
        <w:t>noi</w:t>
      </w:r>
      <w:r w:rsidR="00FA2AD1">
        <w:rPr>
          <w:lang w:val="ro-RO"/>
        </w:rPr>
        <w:t xml:space="preserve">, </w:t>
      </w:r>
      <w:r w:rsidR="00081E18">
        <w:rPr>
          <w:lang w:val="ro-RO"/>
        </w:rPr>
        <w:t xml:space="preserve">în moneda națională, </w:t>
      </w:r>
      <w:r>
        <w:rPr>
          <w:lang w:val="ro-RO"/>
        </w:rPr>
        <w:t xml:space="preserve">atrase </w:t>
      </w:r>
      <w:r w:rsidR="007A5163">
        <w:rPr>
          <w:lang w:val="ro-RO"/>
        </w:rPr>
        <w:t xml:space="preserve">de bănci </w:t>
      </w:r>
      <w:r w:rsidR="0090152F">
        <w:rPr>
          <w:lang w:val="ro-RO"/>
        </w:rPr>
        <w:t xml:space="preserve">în luna precedentă </w:t>
      </w:r>
      <w:r w:rsidR="00325AA0">
        <w:rPr>
          <w:lang w:val="ro-RO"/>
        </w:rPr>
        <w:t>de la persoane fizice</w:t>
      </w:r>
      <w:r w:rsidR="00842D6E">
        <w:rPr>
          <w:lang w:val="ro-RO"/>
        </w:rPr>
        <w:t xml:space="preserve"> </w:t>
      </w:r>
      <w:r w:rsidR="002F383E">
        <w:rPr>
          <w:lang w:val="ro-RO"/>
        </w:rPr>
        <w:t>pentru toate scadenț</w:t>
      </w:r>
      <w:r w:rsidR="00081E18">
        <w:rPr>
          <w:lang w:val="ro-RO"/>
        </w:rPr>
        <w:t>ele</w:t>
      </w:r>
      <w:r w:rsidRPr="00220A81">
        <w:rPr>
          <w:lang w:val="ro-RO"/>
        </w:rPr>
        <w:t>:</w:t>
      </w:r>
    </w:p>
    <w:p w14:paraId="01E60609" w14:textId="77777777" w:rsidR="005B14A6" w:rsidRDefault="005B14A6" w:rsidP="00DD4A68">
      <w:pPr>
        <w:ind w:left="357"/>
        <w:jc w:val="both"/>
        <w:rPr>
          <w:iCs/>
          <w:color w:val="836967"/>
          <w:kern w:val="24"/>
          <w:sz w:val="36"/>
          <w:szCs w:val="36"/>
          <w:lang w:val="ro-MD"/>
        </w:rPr>
      </w:pPr>
    </w:p>
    <w:p w14:paraId="5414AA0C" w14:textId="36F767BC" w:rsidR="0090152F" w:rsidRPr="00DD4A68" w:rsidRDefault="00FF060A" w:rsidP="00220A81">
      <w:pPr>
        <w:spacing w:before="120" w:after="120"/>
        <w:ind w:left="360"/>
        <w:jc w:val="both"/>
        <w:rPr>
          <w:i/>
          <w:lang w:val="ro-MD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color w:val="836967"/>
                  <w:kern w:val="24"/>
                  <w:sz w:val="36"/>
                  <w:szCs w:val="36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kern w:val="24"/>
                  <w:sz w:val="36"/>
                  <w:szCs w:val="36"/>
                </w:rPr>
                <m:t>I</m:t>
              </m:r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kern w:val="24"/>
                  <w:sz w:val="36"/>
                  <w:szCs w:val="36"/>
                  <w:lang w:val="ro-MD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kern w:val="24"/>
                  <w:sz w:val="36"/>
                  <w:szCs w:val="36"/>
                </w:rPr>
                <m:t>t</m:t>
              </m:r>
            </m:sub>
          </m:sSub>
          <m:r>
            <w:rPr>
              <w:rFonts w:ascii="Cambria Math" w:eastAsiaTheme="minorEastAsia" w:hAnsi="Cambria Math"/>
              <w:color w:val="836967"/>
              <w:kern w:val="24"/>
              <w:sz w:val="36"/>
              <w:szCs w:val="36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kern w:val="24"/>
                  <w:sz w:val="36"/>
                  <w:szCs w:val="36"/>
                  <w:lang w:val="ro-MD"/>
                </w:rPr>
              </m:ctrlPr>
            </m:sSubPr>
            <m:e>
              <m:r>
                <w:rPr>
                  <w:rFonts w:ascii="Cambria Math" w:eastAsiaTheme="minorEastAsia" w:hAnsi="Cambria Math"/>
                  <w:kern w:val="24"/>
                  <w:sz w:val="36"/>
                  <w:szCs w:val="36"/>
                  <w:lang w:val="ro-MD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kern w:val="24"/>
                  <w:sz w:val="36"/>
                  <w:szCs w:val="36"/>
                  <w:lang w:val="ro-MD"/>
                </w:rPr>
                <m:t>vD, t-1</m:t>
              </m:r>
            </m:sub>
          </m:sSub>
        </m:oMath>
      </m:oMathPara>
    </w:p>
    <w:p w14:paraId="578F51D4" w14:textId="76AC891A" w:rsidR="00220A81" w:rsidRDefault="00BD741E" w:rsidP="00220A81">
      <w:pPr>
        <w:spacing w:before="120" w:after="120"/>
        <w:ind w:left="360"/>
        <w:jc w:val="both"/>
        <w:rPr>
          <w:lang w:val="ro-RO"/>
        </w:rPr>
      </w:pPr>
      <w:r>
        <w:rPr>
          <w:lang w:val="ro-RO"/>
        </w:rPr>
        <w:t>unde,</w:t>
      </w:r>
    </w:p>
    <w:p w14:paraId="6E2C7FDD" w14:textId="50526799" w:rsidR="00437913" w:rsidRPr="00380EB1" w:rsidRDefault="00FF060A" w:rsidP="00437913">
      <w:pPr>
        <w:spacing w:before="120" w:after="120"/>
        <w:ind w:left="360"/>
        <w:jc w:val="both"/>
        <w:rPr>
          <w:sz w:val="28"/>
          <w:szCs w:val="28"/>
          <w:lang w:val="ro-RO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  <w:color w:val="836967"/>
                <w:kern w:val="24"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kern w:val="24"/>
                <w:sz w:val="36"/>
                <w:szCs w:val="36"/>
              </w:rPr>
              <m:t>I</m:t>
            </m:r>
            <m:r>
              <m:rPr>
                <m:sty m:val="bi"/>
              </m:rPr>
              <w:rPr>
                <w:rFonts w:ascii="Cambria Math" w:hAnsi="Cambria Math"/>
                <w:color w:val="000000" w:themeColor="text1"/>
                <w:kern w:val="24"/>
                <w:sz w:val="36"/>
                <w:szCs w:val="36"/>
                <w:lang w:val="ro-MD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kern w:val="24"/>
                <w:sz w:val="36"/>
                <w:szCs w:val="36"/>
              </w:rPr>
              <m:t>t</m:t>
            </m:r>
          </m:sub>
        </m:sSub>
        <m:r>
          <w:rPr>
            <w:rFonts w:ascii="Cambria Math" w:eastAsiaTheme="minorEastAsia" w:hAnsi="Cambria Math"/>
            <w:color w:val="836967"/>
            <w:kern w:val="24"/>
            <w:sz w:val="36"/>
            <w:szCs w:val="36"/>
            <w:lang w:val="it-IT"/>
          </w:rPr>
          <m:t xml:space="preserve"> </m:t>
        </m:r>
      </m:oMath>
      <w:r w:rsidR="00437913" w:rsidRPr="00380EB1">
        <w:rPr>
          <w:iCs/>
          <w:kern w:val="24"/>
          <w:lang w:val="ro-MD"/>
        </w:rPr>
        <w:t>–</w:t>
      </w:r>
      <w:r w:rsidR="00437913" w:rsidRPr="00380EB1">
        <w:rPr>
          <w:b/>
          <w:bCs/>
          <w:iCs/>
          <w:kern w:val="24"/>
          <w:lang w:val="ro-MD"/>
        </w:rPr>
        <w:t xml:space="preserve"> </w:t>
      </w:r>
      <w:r w:rsidR="00437913" w:rsidRPr="00380EB1">
        <w:rPr>
          <w:lang w:val="ro-RO"/>
        </w:rPr>
        <w:t>indicele de referință;</w:t>
      </w:r>
    </w:p>
    <w:p w14:paraId="4302C0F4" w14:textId="42D60CB3" w:rsidR="005B14A6" w:rsidRPr="00DD4A68" w:rsidRDefault="00FF060A" w:rsidP="00437913">
      <w:pPr>
        <w:spacing w:before="120" w:after="120"/>
        <w:ind w:left="360"/>
        <w:jc w:val="both"/>
        <w:rPr>
          <w:b/>
          <w:bCs/>
          <w:iCs/>
          <w:color w:val="836967"/>
          <w:kern w:val="24"/>
          <w:sz w:val="36"/>
          <w:szCs w:val="36"/>
          <w:lang w:val="ro-MD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iCs/>
                <w:kern w:val="24"/>
                <w:sz w:val="36"/>
                <w:szCs w:val="36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kern w:val="24"/>
                <w:sz w:val="36"/>
                <w:szCs w:val="36"/>
                <w:lang w:val="ro-MD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kern w:val="24"/>
                <w:sz w:val="36"/>
                <w:szCs w:val="36"/>
                <w:lang w:val="ro-MD"/>
              </w:rPr>
              <m:t>vD, t-1</m:t>
            </m:r>
          </m:sub>
        </m:sSub>
      </m:oMath>
      <w:r w:rsidR="005B14A6">
        <w:rPr>
          <w:b/>
          <w:bCs/>
          <w:iCs/>
          <w:kern w:val="24"/>
          <w:sz w:val="36"/>
          <w:szCs w:val="36"/>
          <w:lang w:val="ro-MD"/>
        </w:rPr>
        <w:t xml:space="preserve"> </w:t>
      </w:r>
      <w:r w:rsidR="005B14A6">
        <w:rPr>
          <w:lang w:val="ro-RO"/>
        </w:rPr>
        <w:t>–</w:t>
      </w:r>
      <w:r w:rsidR="005B14A6" w:rsidRPr="00DD4A68">
        <w:rPr>
          <w:lang w:val="ro-RO"/>
        </w:rPr>
        <w:t xml:space="preserve"> </w:t>
      </w:r>
      <w:r w:rsidR="005B14A6">
        <w:rPr>
          <w:lang w:val="ro-RO"/>
        </w:rPr>
        <w:t>rata dobânzii med</w:t>
      </w:r>
      <w:r w:rsidR="005B14A6" w:rsidRPr="00220A81">
        <w:rPr>
          <w:lang w:val="ro-RO"/>
        </w:rPr>
        <w:t>i</w:t>
      </w:r>
      <w:r w:rsidR="005B14A6">
        <w:rPr>
          <w:lang w:val="ro-RO"/>
        </w:rPr>
        <w:t xml:space="preserve">e </w:t>
      </w:r>
      <w:r w:rsidR="005B14A6" w:rsidRPr="00220A81">
        <w:rPr>
          <w:lang w:val="ro-RO"/>
        </w:rPr>
        <w:t>ponderată la depozit</w:t>
      </w:r>
      <w:r w:rsidR="005B14A6">
        <w:rPr>
          <w:lang w:val="ro-RO"/>
        </w:rPr>
        <w:t>ele bancare noi atrase</w:t>
      </w:r>
      <w:r w:rsidR="00081E18">
        <w:rPr>
          <w:lang w:val="ro-RO"/>
        </w:rPr>
        <w:t xml:space="preserve"> în moneda națională</w:t>
      </w:r>
      <w:r w:rsidR="005B14A6">
        <w:rPr>
          <w:lang w:val="ro-RO"/>
        </w:rPr>
        <w:t xml:space="preserve"> în luna precedentă de la persoane fizice pentru toate scadenț</w:t>
      </w:r>
      <w:r w:rsidR="00F757D2">
        <w:rPr>
          <w:lang w:val="ro-RO"/>
        </w:rPr>
        <w:t>ele</w:t>
      </w:r>
      <w:r w:rsidR="00112DD4">
        <w:rPr>
          <w:lang w:val="ro-RO"/>
        </w:rPr>
        <w:t>, total pe sectorul bancar</w:t>
      </w:r>
      <w:r w:rsidR="005B14A6">
        <w:rPr>
          <w:lang w:val="ro-RO"/>
        </w:rPr>
        <w:t>.</w:t>
      </w:r>
    </w:p>
    <w:p w14:paraId="73A08766" w14:textId="519E4196" w:rsidR="007B21B5" w:rsidRDefault="007B21B5" w:rsidP="00437913">
      <w:pPr>
        <w:spacing w:before="120" w:after="120"/>
        <w:ind w:left="360"/>
        <w:jc w:val="both"/>
        <w:rPr>
          <w:color w:val="000000" w:themeColor="text1"/>
          <w:kern w:val="24"/>
          <w:sz w:val="22"/>
          <w:szCs w:val="22"/>
          <w:lang w:val="ro-MD"/>
        </w:rPr>
      </w:pPr>
    </w:p>
    <w:p w14:paraId="2AC25644" w14:textId="14EDD5AC" w:rsidR="000257ED" w:rsidRPr="000257ED" w:rsidRDefault="00840257" w:rsidP="000257ED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0" w:firstLine="357"/>
        <w:jc w:val="both"/>
        <w:rPr>
          <w:color w:val="000000" w:themeColor="text1"/>
          <w:kern w:val="24"/>
          <w:lang w:val="ro-MD"/>
        </w:rPr>
      </w:pPr>
      <w:bookmarkStart w:id="2" w:name="_Ref176274732"/>
      <w:r w:rsidRPr="000257ED">
        <w:rPr>
          <w:color w:val="000000" w:themeColor="text1"/>
          <w:kern w:val="24"/>
          <w:lang w:val="ro-MD"/>
        </w:rPr>
        <w:t xml:space="preserve">Indicele de referință în moneda națională este calculat de către BNM în baza datelor raportate de bănci conform Instrucțiunii </w:t>
      </w:r>
      <w:r w:rsidR="00507912" w:rsidRPr="000257ED">
        <w:rPr>
          <w:color w:val="000000" w:themeColor="text1"/>
          <w:kern w:val="24"/>
          <w:lang w:val="ro-MD"/>
        </w:rPr>
        <w:t>cu privire la modul de întocmire și prezentare a rapoartelor privind ratele dobânzilor aplicate de băncile din Republica Moldova, aprobat</w:t>
      </w:r>
      <w:r w:rsidR="0006299A">
        <w:rPr>
          <w:color w:val="000000" w:themeColor="text1"/>
          <w:kern w:val="24"/>
          <w:lang w:val="ro-MD"/>
        </w:rPr>
        <w:t>e</w:t>
      </w:r>
      <w:r w:rsidR="00507912" w:rsidRPr="000257ED">
        <w:rPr>
          <w:color w:val="000000" w:themeColor="text1"/>
          <w:kern w:val="24"/>
          <w:lang w:val="ro-MD"/>
        </w:rPr>
        <w:t xml:space="preserve"> prin HCE al BNM nr. 331 din 1.12.2016.</w:t>
      </w:r>
      <w:bookmarkEnd w:id="2"/>
    </w:p>
    <w:p w14:paraId="5AA31F4A" w14:textId="62D103D4" w:rsidR="000257ED" w:rsidRDefault="000257ED" w:rsidP="00DD4A68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0" w:firstLine="357"/>
        <w:jc w:val="both"/>
        <w:rPr>
          <w:color w:val="000000" w:themeColor="text1"/>
          <w:kern w:val="24"/>
          <w:lang w:val="ro-MD"/>
        </w:rPr>
      </w:pPr>
      <w:r>
        <w:rPr>
          <w:color w:val="000000" w:themeColor="text1"/>
          <w:kern w:val="24"/>
          <w:lang w:val="ro-MD"/>
        </w:rPr>
        <w:t>La calcularea indicelui de referință în moneda națională se vor utiliza toate datele prezentate de c</w:t>
      </w:r>
      <w:r w:rsidR="00D87ADB">
        <w:rPr>
          <w:color w:val="000000" w:themeColor="text1"/>
          <w:kern w:val="24"/>
          <w:lang w:val="ro-MD"/>
        </w:rPr>
        <w:t>ătre</w:t>
      </w:r>
      <w:r>
        <w:rPr>
          <w:color w:val="000000" w:themeColor="text1"/>
          <w:kern w:val="24"/>
          <w:lang w:val="ro-MD"/>
        </w:rPr>
        <w:t xml:space="preserve"> băncile licențiate în raportul menționat la pct. 5, cel târziu cu o zi înainte de data preconizată a publicării indicelui. Datele raportate ulterior aceste</w:t>
      </w:r>
      <w:r w:rsidR="00980CE4">
        <w:rPr>
          <w:color w:val="000000" w:themeColor="text1"/>
          <w:kern w:val="24"/>
          <w:lang w:val="ro-MD"/>
        </w:rPr>
        <w:t>i</w:t>
      </w:r>
      <w:r>
        <w:rPr>
          <w:color w:val="000000" w:themeColor="text1"/>
          <w:kern w:val="24"/>
          <w:lang w:val="ro-MD"/>
        </w:rPr>
        <w:t xml:space="preserve"> date</w:t>
      </w:r>
      <w:r w:rsidR="0006299A">
        <w:rPr>
          <w:color w:val="000000" w:themeColor="text1"/>
          <w:kern w:val="24"/>
          <w:lang w:val="ro-MD"/>
        </w:rPr>
        <w:t xml:space="preserve"> -</w:t>
      </w:r>
      <w:r>
        <w:rPr>
          <w:color w:val="000000" w:themeColor="text1"/>
          <w:kern w:val="24"/>
          <w:lang w:val="ro-MD"/>
        </w:rPr>
        <w:t xml:space="preserve"> limită nu vor duce la ajustarea/actualizarea indicelui deja calculat și publicat de către BNM.</w:t>
      </w:r>
    </w:p>
    <w:p w14:paraId="5996E4B7" w14:textId="6CFDAB57" w:rsidR="007B21B5" w:rsidRPr="00E137CA" w:rsidRDefault="007B21B5" w:rsidP="00E137CA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0" w:firstLine="357"/>
        <w:jc w:val="both"/>
        <w:rPr>
          <w:color w:val="000000" w:themeColor="text1"/>
          <w:kern w:val="24"/>
          <w:lang w:val="ro-MD"/>
        </w:rPr>
      </w:pPr>
      <w:r w:rsidRPr="00E137CA">
        <w:rPr>
          <w:color w:val="000000" w:themeColor="text1"/>
          <w:kern w:val="24"/>
          <w:lang w:val="ro-MD"/>
        </w:rPr>
        <w:t>Nivelul indicelui de referință se rotunjește la două zecimale și exprimă valoarea anuală în procente.</w:t>
      </w:r>
    </w:p>
    <w:p w14:paraId="11FDEEEE" w14:textId="77777777" w:rsidR="00A57053" w:rsidRPr="00A57053" w:rsidRDefault="00A57053" w:rsidP="004673FE">
      <w:pPr>
        <w:spacing w:before="120" w:after="120"/>
        <w:ind w:left="360"/>
        <w:jc w:val="center"/>
        <w:rPr>
          <w:b/>
          <w:sz w:val="28"/>
          <w:szCs w:val="28"/>
          <w:lang w:val="ro-MD"/>
        </w:rPr>
      </w:pPr>
    </w:p>
    <w:p w14:paraId="49A13BF0" w14:textId="7B448CC4" w:rsidR="00E91490" w:rsidRDefault="004673FE" w:rsidP="004673FE">
      <w:pPr>
        <w:spacing w:before="120" w:after="120"/>
        <w:ind w:left="360"/>
        <w:jc w:val="center"/>
        <w:rPr>
          <w:sz w:val="36"/>
          <w:szCs w:val="36"/>
          <w:lang w:val="ro-MD"/>
        </w:rPr>
      </w:pPr>
      <w:r>
        <w:rPr>
          <w:b/>
          <w:sz w:val="28"/>
          <w:szCs w:val="28"/>
          <w:lang w:val="it-IT"/>
        </w:rPr>
        <w:t>Capitolul I</w:t>
      </w:r>
      <w:r w:rsidR="00D942BE">
        <w:rPr>
          <w:b/>
          <w:sz w:val="28"/>
          <w:szCs w:val="28"/>
          <w:lang w:val="it-IT"/>
        </w:rPr>
        <w:t>II</w:t>
      </w:r>
      <w:r>
        <w:rPr>
          <w:b/>
          <w:sz w:val="28"/>
          <w:szCs w:val="28"/>
          <w:lang w:val="it-IT"/>
        </w:rPr>
        <w:t>.</w:t>
      </w:r>
      <w:r w:rsidR="000D259F">
        <w:rPr>
          <w:b/>
          <w:sz w:val="28"/>
          <w:szCs w:val="28"/>
          <w:lang w:val="it-IT"/>
        </w:rPr>
        <w:t xml:space="preserve"> </w:t>
      </w:r>
      <w:r w:rsidR="003E459A">
        <w:rPr>
          <w:b/>
          <w:sz w:val="28"/>
          <w:szCs w:val="28"/>
          <w:lang w:val="it-IT"/>
        </w:rPr>
        <w:t>P</w:t>
      </w:r>
      <w:r w:rsidR="000D259F" w:rsidRPr="000D259F">
        <w:rPr>
          <w:b/>
          <w:sz w:val="28"/>
          <w:szCs w:val="28"/>
          <w:lang w:val="it-IT"/>
        </w:rPr>
        <w:t>ublicare</w:t>
      </w:r>
      <w:r w:rsidR="000D259F">
        <w:rPr>
          <w:b/>
          <w:sz w:val="28"/>
          <w:szCs w:val="28"/>
          <w:lang w:val="it-IT"/>
        </w:rPr>
        <w:t>a</w:t>
      </w:r>
      <w:r w:rsidR="003E459A">
        <w:rPr>
          <w:b/>
          <w:sz w:val="28"/>
          <w:szCs w:val="28"/>
          <w:lang w:val="it-IT"/>
        </w:rPr>
        <w:t xml:space="preserve"> indicelui de referință </w:t>
      </w:r>
    </w:p>
    <w:p w14:paraId="1A7E939D" w14:textId="61244326" w:rsidR="004673FE" w:rsidRDefault="004673FE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357"/>
        <w:jc w:val="both"/>
        <w:rPr>
          <w:lang w:val="ro-RO"/>
        </w:rPr>
      </w:pPr>
      <w:r w:rsidRPr="00741EFB">
        <w:rPr>
          <w:lang w:val="ro-RO"/>
        </w:rPr>
        <w:t xml:space="preserve">Indicele de referință </w:t>
      </w:r>
      <w:r w:rsidRPr="00741EFB">
        <w:rPr>
          <w:snapToGrid w:val="0"/>
          <w:lang w:val="ro-RO"/>
        </w:rPr>
        <w:t xml:space="preserve">în moneda națională </w:t>
      </w:r>
      <w:r w:rsidR="00BA1112" w:rsidRPr="00741EFB">
        <w:rPr>
          <w:lang w:val="ro-RO"/>
        </w:rPr>
        <w:t xml:space="preserve">se publică </w:t>
      </w:r>
      <w:r w:rsidR="005F7AEA">
        <w:rPr>
          <w:lang w:val="ro-RO"/>
        </w:rPr>
        <w:t xml:space="preserve">lunar </w:t>
      </w:r>
      <w:r w:rsidR="00BA1112" w:rsidRPr="00741EFB">
        <w:rPr>
          <w:lang w:val="ro-RO"/>
        </w:rPr>
        <w:t xml:space="preserve">pe data de 20 a </w:t>
      </w:r>
      <w:r w:rsidR="00E30ED7">
        <w:rPr>
          <w:lang w:val="ro-RO"/>
        </w:rPr>
        <w:t xml:space="preserve">lunii </w:t>
      </w:r>
      <w:r w:rsidR="00BA1112" w:rsidRPr="00741EFB">
        <w:rPr>
          <w:lang w:val="ro-RO"/>
        </w:rPr>
        <w:t>pe pagina web a BNM</w:t>
      </w:r>
      <w:r w:rsidR="0090152F">
        <w:rPr>
          <w:lang w:val="ro-RO"/>
        </w:rPr>
        <w:t xml:space="preserve"> și se aplică începând cu luna următoare după luna în care a fost publicat</w:t>
      </w:r>
      <w:r w:rsidRPr="00741EFB">
        <w:rPr>
          <w:lang w:val="ro-RO"/>
        </w:rPr>
        <w:t>.</w:t>
      </w:r>
    </w:p>
    <w:p w14:paraId="1D65D109" w14:textId="1CE289DB" w:rsidR="00392F96" w:rsidRPr="00741EFB" w:rsidRDefault="00392F96" w:rsidP="00DD4A68">
      <w:pPr>
        <w:numPr>
          <w:ilvl w:val="0"/>
          <w:numId w:val="1"/>
        </w:numPr>
        <w:tabs>
          <w:tab w:val="clear" w:pos="720"/>
        </w:tabs>
        <w:spacing w:before="120" w:after="120"/>
        <w:ind w:left="0" w:firstLine="357"/>
        <w:jc w:val="both"/>
        <w:rPr>
          <w:lang w:val="ro-RO"/>
        </w:rPr>
      </w:pPr>
      <w:r w:rsidRPr="00392F96">
        <w:rPr>
          <w:lang w:val="ro-RO"/>
        </w:rPr>
        <w:t>În cazul în care data de 20 este zi de sărbătoare nelucrătoare sau zi</w:t>
      </w:r>
      <w:r w:rsidR="00E137CA">
        <w:rPr>
          <w:lang w:val="ro-RO"/>
        </w:rPr>
        <w:t xml:space="preserve"> de</w:t>
      </w:r>
      <w:r w:rsidRPr="00392F96">
        <w:rPr>
          <w:lang w:val="ro-RO"/>
        </w:rPr>
        <w:t xml:space="preserve"> </w:t>
      </w:r>
      <w:r w:rsidR="002808F9">
        <w:rPr>
          <w:lang w:val="ro-RO"/>
        </w:rPr>
        <w:t>repaus</w:t>
      </w:r>
      <w:r w:rsidRPr="00392F96">
        <w:rPr>
          <w:lang w:val="ro-RO"/>
        </w:rPr>
        <w:t>, indicele de referință se publică în zi</w:t>
      </w:r>
      <w:r w:rsidR="00980CE4">
        <w:rPr>
          <w:lang w:val="ro-RO"/>
        </w:rPr>
        <w:t>ua</w:t>
      </w:r>
      <w:r w:rsidRPr="00392F96">
        <w:rPr>
          <w:lang w:val="ro-RO"/>
        </w:rPr>
        <w:t xml:space="preserve"> lucrătoare</w:t>
      </w:r>
      <w:r w:rsidR="00980CE4">
        <w:rPr>
          <w:lang w:val="ro-RO"/>
        </w:rPr>
        <w:t xml:space="preserve"> </w:t>
      </w:r>
      <w:r w:rsidR="00E137CA">
        <w:rPr>
          <w:lang w:val="ro-RO"/>
        </w:rPr>
        <w:t>următoare</w:t>
      </w:r>
      <w:r w:rsidRPr="00392F96">
        <w:rPr>
          <w:lang w:val="ro-RO"/>
        </w:rPr>
        <w:t>.</w:t>
      </w:r>
    </w:p>
    <w:p w14:paraId="05DE4AD9" w14:textId="3F9A3D2D" w:rsidR="003E459A" w:rsidRDefault="003E459A" w:rsidP="00DD4A68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0" w:firstLine="357"/>
        <w:contextualSpacing w:val="0"/>
        <w:jc w:val="both"/>
        <w:rPr>
          <w:lang w:val="ro-RO"/>
        </w:rPr>
      </w:pPr>
      <w:bookmarkStart w:id="3" w:name="_Ref176275200"/>
      <w:r w:rsidRPr="00A57053">
        <w:rPr>
          <w:lang w:val="ro-RO"/>
        </w:rPr>
        <w:t xml:space="preserve">Pentru credite cu dobânda flotantă </w:t>
      </w:r>
      <w:r>
        <w:rPr>
          <w:lang w:val="ro-RO"/>
        </w:rPr>
        <w:t>atașate la moneda unică europeană (</w:t>
      </w:r>
      <w:r w:rsidRPr="00A57053">
        <w:rPr>
          <w:lang w:val="ro-RO"/>
        </w:rPr>
        <w:t>EUR</w:t>
      </w:r>
      <w:r>
        <w:rPr>
          <w:lang w:val="ro-RO"/>
        </w:rPr>
        <w:t>)</w:t>
      </w:r>
      <w:r w:rsidRPr="00A57053">
        <w:rPr>
          <w:lang w:val="ro-RO"/>
        </w:rPr>
        <w:t xml:space="preserve">, în calitate de indice de referință </w:t>
      </w:r>
      <w:r>
        <w:rPr>
          <w:lang w:val="ro-RO"/>
        </w:rPr>
        <w:t>se utilizează</w:t>
      </w:r>
      <w:r w:rsidRPr="00A57053">
        <w:rPr>
          <w:lang w:val="ro-RO"/>
        </w:rPr>
        <w:t xml:space="preserve"> </w:t>
      </w:r>
      <w:r w:rsidRPr="00A57053">
        <w:rPr>
          <w:i/>
          <w:iCs/>
          <w:lang w:val="ro-MD"/>
        </w:rPr>
        <w:t>rata euro pe termen scurt</w:t>
      </w:r>
      <w:r w:rsidRPr="00A57053">
        <w:rPr>
          <w:lang w:val="ro-RO"/>
        </w:rPr>
        <w:t xml:space="preserve"> (</w:t>
      </w:r>
      <w:r w:rsidRPr="00A57053">
        <w:rPr>
          <w:lang w:val="it-IT"/>
        </w:rPr>
        <w:t>euro short-term rate</w:t>
      </w:r>
      <w:r>
        <w:rPr>
          <w:lang w:val="ro-MD"/>
        </w:rPr>
        <w:t xml:space="preserve"> - </w:t>
      </w:r>
      <w:r w:rsidRPr="00A57053">
        <w:rPr>
          <w:lang w:val="it-IT"/>
        </w:rPr>
        <w:t>€STR</w:t>
      </w:r>
      <w:r w:rsidRPr="00A57053">
        <w:rPr>
          <w:lang w:val="ro-RO"/>
        </w:rPr>
        <w:t>)</w:t>
      </w:r>
      <w:r>
        <w:rPr>
          <w:lang w:val="ro-RO"/>
        </w:rPr>
        <w:t xml:space="preserve"> calculată și publicată de Banca Centrală Europeană</w:t>
      </w:r>
      <w:r w:rsidR="00392F96">
        <w:rPr>
          <w:lang w:val="ro-RO"/>
        </w:rPr>
        <w:t>, disponibilă</w:t>
      </w:r>
      <w:r>
        <w:rPr>
          <w:lang w:val="ro-RO"/>
        </w:rPr>
        <w:t xml:space="preserve"> </w:t>
      </w:r>
      <w:bookmarkStart w:id="4" w:name="_Hlk176274829"/>
      <w:r>
        <w:rPr>
          <w:lang w:val="ro-RO"/>
        </w:rPr>
        <w:t xml:space="preserve">la </w:t>
      </w:r>
      <w:r w:rsidRPr="00AB0F64">
        <w:rPr>
          <w:lang w:val="ro-RO"/>
        </w:rPr>
        <w:t>cea mai recentă</w:t>
      </w:r>
      <w:r>
        <w:rPr>
          <w:lang w:val="ro-RO"/>
        </w:rPr>
        <w:t xml:space="preserve"> dată</w:t>
      </w:r>
      <w:bookmarkEnd w:id="4"/>
      <w:r>
        <w:rPr>
          <w:lang w:val="ro-RO"/>
        </w:rPr>
        <w:t>.</w:t>
      </w:r>
      <w:bookmarkEnd w:id="3"/>
    </w:p>
    <w:p w14:paraId="3BEA1BF5" w14:textId="11B82578" w:rsidR="003E459A" w:rsidRDefault="003E459A" w:rsidP="00DD4A68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0" w:firstLine="360"/>
        <w:contextualSpacing w:val="0"/>
        <w:jc w:val="both"/>
        <w:rPr>
          <w:lang w:val="ro-RO"/>
        </w:rPr>
      </w:pPr>
      <w:bookmarkStart w:id="5" w:name="_Ref176275206"/>
      <w:r w:rsidRPr="0065756A">
        <w:rPr>
          <w:lang w:val="ro-RO"/>
        </w:rPr>
        <w:t xml:space="preserve">Pentru credite cu dobânda flotantă </w:t>
      </w:r>
      <w:r>
        <w:rPr>
          <w:lang w:val="ro-RO"/>
        </w:rPr>
        <w:t xml:space="preserve">atașate la </w:t>
      </w:r>
      <w:r w:rsidRPr="0065756A">
        <w:rPr>
          <w:lang w:val="ro-RO"/>
        </w:rPr>
        <w:t xml:space="preserve">alte </w:t>
      </w:r>
      <w:r>
        <w:rPr>
          <w:lang w:val="ro-RO"/>
        </w:rPr>
        <w:t>valute decât EUR</w:t>
      </w:r>
      <w:r w:rsidRPr="0065756A">
        <w:rPr>
          <w:lang w:val="ro-RO"/>
        </w:rPr>
        <w:t xml:space="preserve">, în calitate de indice de referință </w:t>
      </w:r>
      <w:r>
        <w:rPr>
          <w:lang w:val="ro-RO"/>
        </w:rPr>
        <w:t>se utilizează indicele din statul respectiv</w:t>
      </w:r>
      <w:r w:rsidR="00392F96">
        <w:rPr>
          <w:lang w:val="ro-RO"/>
        </w:rPr>
        <w:t>, disponibil</w:t>
      </w:r>
      <w:r w:rsidRPr="00CD333D">
        <w:rPr>
          <w:lang w:val="it-IT"/>
        </w:rPr>
        <w:t xml:space="preserve"> </w:t>
      </w:r>
      <w:r w:rsidRPr="005D0119">
        <w:rPr>
          <w:lang w:val="ro-RO"/>
        </w:rPr>
        <w:t xml:space="preserve">la </w:t>
      </w:r>
      <w:r w:rsidRPr="00FF060A">
        <w:rPr>
          <w:lang w:val="ro-RO"/>
        </w:rPr>
        <w:t>cea mai recentă</w:t>
      </w:r>
      <w:r w:rsidRPr="005D0119">
        <w:rPr>
          <w:lang w:val="ro-RO"/>
        </w:rPr>
        <w:t xml:space="preserve"> dată</w:t>
      </w:r>
      <w:r>
        <w:rPr>
          <w:lang w:val="ro-RO"/>
        </w:rPr>
        <w:t>.</w:t>
      </w:r>
      <w:bookmarkEnd w:id="5"/>
      <w:r>
        <w:rPr>
          <w:lang w:val="ro-RO"/>
        </w:rPr>
        <w:t xml:space="preserve"> </w:t>
      </w:r>
    </w:p>
    <w:p w14:paraId="3C05D604" w14:textId="7E4B6B42" w:rsidR="00E557C4" w:rsidRPr="00E770DF" w:rsidRDefault="003E459A" w:rsidP="00DD4A68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0" w:firstLine="360"/>
        <w:contextualSpacing w:val="0"/>
        <w:jc w:val="both"/>
        <w:rPr>
          <w:lang w:val="ro-RO"/>
        </w:rPr>
      </w:pPr>
      <w:r>
        <w:rPr>
          <w:lang w:val="ro-RO"/>
        </w:rPr>
        <w:t xml:space="preserve">BNM publică pe pagina sa </w:t>
      </w:r>
      <w:r w:rsidRPr="00741EFB">
        <w:rPr>
          <w:lang w:val="ro-RO"/>
        </w:rPr>
        <w:t xml:space="preserve">web </w:t>
      </w:r>
      <w:r>
        <w:rPr>
          <w:lang w:val="ro-RO"/>
        </w:rPr>
        <w:t>referințele la paginile de publicare a indicilor de referință pentru principalele valute relevante, menționate la pct.</w:t>
      </w:r>
      <w:r w:rsidR="00392F96">
        <w:rPr>
          <w:lang w:val="ro-RO"/>
        </w:rPr>
        <w:fldChar w:fldCharType="begin"/>
      </w:r>
      <w:r w:rsidR="00392F96">
        <w:rPr>
          <w:lang w:val="ro-RO"/>
        </w:rPr>
        <w:instrText xml:space="preserve"> REF _Ref176275200 \r \h </w:instrText>
      </w:r>
      <w:r w:rsidR="00392F96">
        <w:rPr>
          <w:lang w:val="ro-RO"/>
        </w:rPr>
      </w:r>
      <w:r w:rsidR="00392F96">
        <w:rPr>
          <w:lang w:val="ro-RO"/>
        </w:rPr>
        <w:fldChar w:fldCharType="separate"/>
      </w:r>
      <w:r w:rsidR="00E137CA">
        <w:rPr>
          <w:lang w:val="ro-RO"/>
        </w:rPr>
        <w:t>10</w:t>
      </w:r>
      <w:r w:rsidR="00392F96">
        <w:rPr>
          <w:lang w:val="ro-RO"/>
        </w:rPr>
        <w:fldChar w:fldCharType="end"/>
      </w:r>
      <w:r>
        <w:rPr>
          <w:lang w:val="ro-RO"/>
        </w:rPr>
        <w:t xml:space="preserve"> și pct.</w:t>
      </w:r>
      <w:r w:rsidR="00392F96">
        <w:rPr>
          <w:lang w:val="ro-RO"/>
        </w:rPr>
        <w:fldChar w:fldCharType="begin"/>
      </w:r>
      <w:r w:rsidR="00392F96">
        <w:rPr>
          <w:lang w:val="ro-RO"/>
        </w:rPr>
        <w:instrText xml:space="preserve"> REF _Ref176275206 \r \h </w:instrText>
      </w:r>
      <w:r w:rsidR="00392F96">
        <w:rPr>
          <w:lang w:val="ro-RO"/>
        </w:rPr>
      </w:r>
      <w:r w:rsidR="00392F96">
        <w:rPr>
          <w:lang w:val="ro-RO"/>
        </w:rPr>
        <w:fldChar w:fldCharType="separate"/>
      </w:r>
      <w:r w:rsidR="00E137CA">
        <w:rPr>
          <w:lang w:val="ro-RO"/>
        </w:rPr>
        <w:t>11</w:t>
      </w:r>
      <w:r w:rsidR="00392F96">
        <w:rPr>
          <w:lang w:val="ro-RO"/>
        </w:rPr>
        <w:fldChar w:fldCharType="end"/>
      </w:r>
      <w:r>
        <w:rPr>
          <w:lang w:val="ro-RO"/>
        </w:rPr>
        <w:t>.</w:t>
      </w:r>
    </w:p>
    <w:sectPr w:rsidR="00E557C4" w:rsidRPr="00E770DF" w:rsidSect="00A86FF5">
      <w:headerReference w:type="default" r:id="rId9"/>
      <w:footerReference w:type="default" r:id="rId10"/>
      <w:pgSz w:w="11906" w:h="16838"/>
      <w:pgMar w:top="28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C426B" w14:textId="77777777" w:rsidR="00A86FF5" w:rsidRDefault="00A86FF5" w:rsidP="007230BC">
      <w:r>
        <w:separator/>
      </w:r>
    </w:p>
  </w:endnote>
  <w:endnote w:type="continuationSeparator" w:id="0">
    <w:p w14:paraId="1D6F3488" w14:textId="77777777" w:rsidR="00A86FF5" w:rsidRDefault="00A86FF5" w:rsidP="0072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AC6C5" w14:textId="2CCCF6A1" w:rsidR="00666AED" w:rsidRDefault="00666AED" w:rsidP="00666AED">
    <w:pPr>
      <w:pStyle w:val="Footer"/>
      <w:jc w:val="center"/>
    </w:pPr>
  </w:p>
  <w:p w14:paraId="2E987C87" w14:textId="78EB063A" w:rsidR="002659A9" w:rsidRDefault="00FF060A">
    <w:pPr>
      <w:pStyle w:val="Footer"/>
      <w:jc w:val="center"/>
    </w:pPr>
    <w:sdt>
      <w:sdtPr>
        <w:id w:val="-18866335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659A9">
          <w:fldChar w:fldCharType="begin"/>
        </w:r>
        <w:r w:rsidR="002659A9">
          <w:instrText xml:space="preserve"> PAGE   \* MERGEFORMAT </w:instrText>
        </w:r>
        <w:r w:rsidR="002659A9">
          <w:fldChar w:fldCharType="separate"/>
        </w:r>
        <w:r w:rsidR="002659A9">
          <w:rPr>
            <w:noProof/>
          </w:rPr>
          <w:t>2</w:t>
        </w:r>
        <w:r w:rsidR="002659A9">
          <w:rPr>
            <w:noProof/>
          </w:rPr>
          <w:fldChar w:fldCharType="end"/>
        </w:r>
      </w:sdtContent>
    </w:sdt>
  </w:p>
  <w:p w14:paraId="2CCBF7E8" w14:textId="21E7B91B" w:rsidR="007230BC" w:rsidRPr="00EB5C3A" w:rsidRDefault="007230BC" w:rsidP="00EB5C3A">
    <w:pPr>
      <w:pStyle w:val="Footer"/>
      <w:jc w:val="cen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5B239" w14:textId="77777777" w:rsidR="00A86FF5" w:rsidRDefault="00A86FF5" w:rsidP="007230BC">
      <w:r>
        <w:separator/>
      </w:r>
    </w:p>
  </w:footnote>
  <w:footnote w:type="continuationSeparator" w:id="0">
    <w:p w14:paraId="77FB4F63" w14:textId="77777777" w:rsidR="00A86FF5" w:rsidRDefault="00A86FF5" w:rsidP="00723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F9031" w14:textId="1401CE37" w:rsidR="007230BC" w:rsidRDefault="007230BC" w:rsidP="00666A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16CD"/>
    <w:multiLevelType w:val="hybridMultilevel"/>
    <w:tmpl w:val="18C47222"/>
    <w:lvl w:ilvl="0" w:tplc="446A2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E23CC2">
      <w:numFmt w:val="none"/>
      <w:lvlText w:val=""/>
      <w:lvlJc w:val="left"/>
      <w:pPr>
        <w:tabs>
          <w:tab w:val="num" w:pos="360"/>
        </w:tabs>
      </w:pPr>
    </w:lvl>
    <w:lvl w:ilvl="2" w:tplc="2FF8CD52">
      <w:numFmt w:val="none"/>
      <w:lvlText w:val=""/>
      <w:lvlJc w:val="left"/>
      <w:pPr>
        <w:tabs>
          <w:tab w:val="num" w:pos="360"/>
        </w:tabs>
      </w:pPr>
    </w:lvl>
    <w:lvl w:ilvl="3" w:tplc="7ED2A5B8">
      <w:numFmt w:val="none"/>
      <w:lvlText w:val=""/>
      <w:lvlJc w:val="left"/>
      <w:pPr>
        <w:tabs>
          <w:tab w:val="num" w:pos="360"/>
        </w:tabs>
      </w:pPr>
    </w:lvl>
    <w:lvl w:ilvl="4" w:tplc="07D85D04">
      <w:numFmt w:val="none"/>
      <w:lvlText w:val=""/>
      <w:lvlJc w:val="left"/>
      <w:pPr>
        <w:tabs>
          <w:tab w:val="num" w:pos="360"/>
        </w:tabs>
      </w:pPr>
    </w:lvl>
    <w:lvl w:ilvl="5" w:tplc="FEACDB0C">
      <w:numFmt w:val="none"/>
      <w:lvlText w:val=""/>
      <w:lvlJc w:val="left"/>
      <w:pPr>
        <w:tabs>
          <w:tab w:val="num" w:pos="360"/>
        </w:tabs>
      </w:pPr>
    </w:lvl>
    <w:lvl w:ilvl="6" w:tplc="00924C0E">
      <w:numFmt w:val="none"/>
      <w:lvlText w:val=""/>
      <w:lvlJc w:val="left"/>
      <w:pPr>
        <w:tabs>
          <w:tab w:val="num" w:pos="360"/>
        </w:tabs>
      </w:pPr>
    </w:lvl>
    <w:lvl w:ilvl="7" w:tplc="29E49568">
      <w:numFmt w:val="none"/>
      <w:lvlText w:val=""/>
      <w:lvlJc w:val="left"/>
      <w:pPr>
        <w:tabs>
          <w:tab w:val="num" w:pos="360"/>
        </w:tabs>
      </w:pPr>
    </w:lvl>
    <w:lvl w:ilvl="8" w:tplc="201C3AE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6E6B4F"/>
    <w:multiLevelType w:val="hybridMultilevel"/>
    <w:tmpl w:val="9B14B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906AC"/>
    <w:multiLevelType w:val="hybridMultilevel"/>
    <w:tmpl w:val="18C47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 w16cid:durableId="806700516">
    <w:abstractNumId w:val="0"/>
  </w:num>
  <w:num w:numId="2" w16cid:durableId="820969556">
    <w:abstractNumId w:val="2"/>
  </w:num>
  <w:num w:numId="3" w16cid:durableId="140855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5E"/>
    <w:rsid w:val="00002E51"/>
    <w:rsid w:val="0000322D"/>
    <w:rsid w:val="000257ED"/>
    <w:rsid w:val="000440CF"/>
    <w:rsid w:val="000609D5"/>
    <w:rsid w:val="0006299A"/>
    <w:rsid w:val="00081E18"/>
    <w:rsid w:val="00083045"/>
    <w:rsid w:val="00084C2D"/>
    <w:rsid w:val="00092ACF"/>
    <w:rsid w:val="000D259F"/>
    <w:rsid w:val="000E1046"/>
    <w:rsid w:val="000F2CF4"/>
    <w:rsid w:val="00104EE8"/>
    <w:rsid w:val="001070CF"/>
    <w:rsid w:val="00112DD4"/>
    <w:rsid w:val="00155AE3"/>
    <w:rsid w:val="001647CA"/>
    <w:rsid w:val="001C03B3"/>
    <w:rsid w:val="001D4C32"/>
    <w:rsid w:val="001E3489"/>
    <w:rsid w:val="001F4507"/>
    <w:rsid w:val="001F47BC"/>
    <w:rsid w:val="001F687F"/>
    <w:rsid w:val="0020569B"/>
    <w:rsid w:val="00210BA4"/>
    <w:rsid w:val="00220A81"/>
    <w:rsid w:val="002365D6"/>
    <w:rsid w:val="00255BC5"/>
    <w:rsid w:val="002659A9"/>
    <w:rsid w:val="002808F9"/>
    <w:rsid w:val="002818EA"/>
    <w:rsid w:val="00284979"/>
    <w:rsid w:val="00294812"/>
    <w:rsid w:val="00297D75"/>
    <w:rsid w:val="002B5614"/>
    <w:rsid w:val="002E108B"/>
    <w:rsid w:val="002E1440"/>
    <w:rsid w:val="002F2439"/>
    <w:rsid w:val="002F383E"/>
    <w:rsid w:val="003071E6"/>
    <w:rsid w:val="003139DD"/>
    <w:rsid w:val="0031713E"/>
    <w:rsid w:val="00325AA0"/>
    <w:rsid w:val="003465A7"/>
    <w:rsid w:val="00350AFB"/>
    <w:rsid w:val="00380EB1"/>
    <w:rsid w:val="00385DAC"/>
    <w:rsid w:val="00392F96"/>
    <w:rsid w:val="003A7356"/>
    <w:rsid w:val="003C76BC"/>
    <w:rsid w:val="003E459A"/>
    <w:rsid w:val="003F3A1E"/>
    <w:rsid w:val="00403702"/>
    <w:rsid w:val="00411A53"/>
    <w:rsid w:val="00417A1B"/>
    <w:rsid w:val="00427020"/>
    <w:rsid w:val="0043292C"/>
    <w:rsid w:val="00435559"/>
    <w:rsid w:val="00437913"/>
    <w:rsid w:val="004432F5"/>
    <w:rsid w:val="00454D53"/>
    <w:rsid w:val="004673FE"/>
    <w:rsid w:val="00485DAB"/>
    <w:rsid w:val="004A292B"/>
    <w:rsid w:val="004B59B7"/>
    <w:rsid w:val="004D6F27"/>
    <w:rsid w:val="00507912"/>
    <w:rsid w:val="0059635D"/>
    <w:rsid w:val="005A7921"/>
    <w:rsid w:val="005B14A6"/>
    <w:rsid w:val="005C0B69"/>
    <w:rsid w:val="005D0119"/>
    <w:rsid w:val="005E4B37"/>
    <w:rsid w:val="005F7AEA"/>
    <w:rsid w:val="00607D56"/>
    <w:rsid w:val="00614CA4"/>
    <w:rsid w:val="00635489"/>
    <w:rsid w:val="0063622C"/>
    <w:rsid w:val="00666AED"/>
    <w:rsid w:val="006B2A93"/>
    <w:rsid w:val="006D5C2E"/>
    <w:rsid w:val="007230BC"/>
    <w:rsid w:val="00724853"/>
    <w:rsid w:val="00734F53"/>
    <w:rsid w:val="00740875"/>
    <w:rsid w:val="00741EFB"/>
    <w:rsid w:val="0075787B"/>
    <w:rsid w:val="007667F4"/>
    <w:rsid w:val="007729CC"/>
    <w:rsid w:val="007A5163"/>
    <w:rsid w:val="007B21B5"/>
    <w:rsid w:val="007C5DB3"/>
    <w:rsid w:val="007D2A42"/>
    <w:rsid w:val="007D30EB"/>
    <w:rsid w:val="007E7278"/>
    <w:rsid w:val="00800480"/>
    <w:rsid w:val="00811A38"/>
    <w:rsid w:val="00820DE7"/>
    <w:rsid w:val="008346AC"/>
    <w:rsid w:val="00840257"/>
    <w:rsid w:val="00842D6E"/>
    <w:rsid w:val="00852C5E"/>
    <w:rsid w:val="008D2CF4"/>
    <w:rsid w:val="008D7275"/>
    <w:rsid w:val="0090152F"/>
    <w:rsid w:val="00914D8F"/>
    <w:rsid w:val="009264AE"/>
    <w:rsid w:val="009417C8"/>
    <w:rsid w:val="00950BB7"/>
    <w:rsid w:val="00962B1C"/>
    <w:rsid w:val="00980CE4"/>
    <w:rsid w:val="0098322E"/>
    <w:rsid w:val="009A16FF"/>
    <w:rsid w:val="009B3389"/>
    <w:rsid w:val="009C64D8"/>
    <w:rsid w:val="009C6FE0"/>
    <w:rsid w:val="009F0D13"/>
    <w:rsid w:val="00A0148C"/>
    <w:rsid w:val="00A16EE4"/>
    <w:rsid w:val="00A554DF"/>
    <w:rsid w:val="00A55E65"/>
    <w:rsid w:val="00A57053"/>
    <w:rsid w:val="00A76B18"/>
    <w:rsid w:val="00A86FF5"/>
    <w:rsid w:val="00AA5079"/>
    <w:rsid w:val="00AB0F64"/>
    <w:rsid w:val="00AD0465"/>
    <w:rsid w:val="00AD5CD0"/>
    <w:rsid w:val="00B21A9F"/>
    <w:rsid w:val="00B31226"/>
    <w:rsid w:val="00B503D6"/>
    <w:rsid w:val="00B520B0"/>
    <w:rsid w:val="00B63434"/>
    <w:rsid w:val="00B82D5E"/>
    <w:rsid w:val="00BA1112"/>
    <w:rsid w:val="00BB43FE"/>
    <w:rsid w:val="00BD4716"/>
    <w:rsid w:val="00BD741E"/>
    <w:rsid w:val="00BF4BCA"/>
    <w:rsid w:val="00C55CFE"/>
    <w:rsid w:val="00C830E3"/>
    <w:rsid w:val="00CA4B8E"/>
    <w:rsid w:val="00CC5F6A"/>
    <w:rsid w:val="00CD648A"/>
    <w:rsid w:val="00CE5FCA"/>
    <w:rsid w:val="00D0415B"/>
    <w:rsid w:val="00D52D87"/>
    <w:rsid w:val="00D7031D"/>
    <w:rsid w:val="00D81750"/>
    <w:rsid w:val="00D83787"/>
    <w:rsid w:val="00D86C70"/>
    <w:rsid w:val="00D87A1B"/>
    <w:rsid w:val="00D87ADB"/>
    <w:rsid w:val="00D942BE"/>
    <w:rsid w:val="00DB403A"/>
    <w:rsid w:val="00DD4A68"/>
    <w:rsid w:val="00E137CA"/>
    <w:rsid w:val="00E30ED7"/>
    <w:rsid w:val="00E321DF"/>
    <w:rsid w:val="00E451AB"/>
    <w:rsid w:val="00E557C4"/>
    <w:rsid w:val="00E770DF"/>
    <w:rsid w:val="00E91490"/>
    <w:rsid w:val="00E918F3"/>
    <w:rsid w:val="00EB5C3A"/>
    <w:rsid w:val="00EC2D21"/>
    <w:rsid w:val="00EF5AB8"/>
    <w:rsid w:val="00F102C4"/>
    <w:rsid w:val="00F202EB"/>
    <w:rsid w:val="00F757D2"/>
    <w:rsid w:val="00F903A0"/>
    <w:rsid w:val="00FA2AD1"/>
    <w:rsid w:val="00FA502E"/>
    <w:rsid w:val="00FB1DC5"/>
    <w:rsid w:val="00FD123C"/>
    <w:rsid w:val="00FD2EE6"/>
    <w:rsid w:val="00F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68A0"/>
  <w15:chartTrackingRefBased/>
  <w15:docId w15:val="{A2FEDF59-B0B6-4F47-81B3-48CD2889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D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D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D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D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D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D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D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D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D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D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D5E"/>
    <w:rPr>
      <w:i/>
      <w:iCs/>
      <w:color w:val="404040" w:themeColor="text1" w:themeTint="BF"/>
    </w:rPr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B82D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D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D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D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7230BC"/>
    <w:pPr>
      <w:ind w:firstLine="567"/>
      <w:jc w:val="both"/>
    </w:pPr>
  </w:style>
  <w:style w:type="paragraph" w:styleId="Header">
    <w:name w:val="header"/>
    <w:basedOn w:val="Normal"/>
    <w:link w:val="HeaderChar"/>
    <w:uiPriority w:val="99"/>
    <w:unhideWhenUsed/>
    <w:rsid w:val="007230B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0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7230B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0B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Normal bullet 2 Char"/>
    <w:basedOn w:val="DefaultParagraphFont"/>
    <w:link w:val="ListParagraph"/>
    <w:uiPriority w:val="34"/>
    <w:rsid w:val="009A16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2E108B"/>
    <w:rPr>
      <w:color w:val="666666"/>
    </w:rPr>
  </w:style>
  <w:style w:type="paragraph" w:styleId="Revision">
    <w:name w:val="Revision"/>
    <w:hidden/>
    <w:uiPriority w:val="99"/>
    <w:semiHidden/>
    <w:rsid w:val="0032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96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3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35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35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a5e3f274-363a-48ba-afe2-b3351134d081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1E4B9-598B-4F30-A0F4-E1524DE92F5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1891F0D0-3A84-4897-91DC-4FB066C1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2024-11-19T08:42:00Z</dcterms:created>
  <dcterms:modified xsi:type="dcterms:W3CDTF">2024-11-19T08:42:00Z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a5e3f274-363a-48ba-afe2-b3351134d081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2024-11-15T05:41:06Z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e203085b-a295-4b06-b5e2-9e87962ca4db</vt:lpwstr>
  </property>
  <property fmtid="{D5CDD505-2E9C-101B-9397-08002B2CF9AE}" pid="10" name="MSIP_Label_38962dcf-d39f-4edc-a396-338a56ba9170_ContentBits">
    <vt:lpwstr>0</vt:lpwstr>
  </property>
</Properties>
</file>